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71086624"/>
        <w:docPartObj>
          <w:docPartGallery w:val="Cover Pages"/>
          <w:docPartUnique/>
        </w:docPartObj>
      </w:sdtPr>
      <w:sdtEndPr>
        <w:rPr>
          <w:rFonts w:ascii="Calibri" w:eastAsia="Times New Roman" w:hAnsi="Calibri" w:cs="Calibri"/>
          <w:kern w:val="0"/>
          <w:sz w:val="22"/>
          <w:szCs w:val="22"/>
          <w:lang w:eastAsia="en-GB"/>
          <w14:ligatures w14:val="none"/>
        </w:rPr>
      </w:sdtEndPr>
      <w:sdtContent>
        <w:p w14:paraId="371E503B" w14:textId="7521E3ED" w:rsidR="004E4C22" w:rsidRDefault="004E4C22">
          <w:r>
            <w:rPr>
              <w:noProof/>
            </w:rPr>
            <mc:AlternateContent>
              <mc:Choice Requires="wpg">
                <w:drawing>
                  <wp:anchor distT="0" distB="0" distL="114300" distR="114300" simplePos="0" relativeHeight="251660288" behindDoc="0" locked="0" layoutInCell="1" allowOverlap="1" wp14:anchorId="49ED2398" wp14:editId="655F5CDA">
                    <wp:simplePos x="0" y="0"/>
                    <wp:positionH relativeFrom="page">
                      <wp:align>left</wp:align>
                    </wp:positionH>
                    <wp:positionV relativeFrom="page">
                      <wp:align>top</wp:align>
                    </wp:positionV>
                    <wp:extent cx="6382512" cy="3401568"/>
                    <wp:effectExtent l="0" t="0" r="5715" b="0"/>
                    <wp:wrapNone/>
                    <wp:docPr id="459" name="Group 39" title="Title and subtitle with crop mark graphic"/>
                    <wp:cNvGraphicFramePr/>
                    <a:graphic xmlns:a="http://schemas.openxmlformats.org/drawingml/2006/main">
                      <a:graphicData uri="http://schemas.microsoft.com/office/word/2010/wordprocessingGroup">
                        <wpg:wgp>
                          <wpg:cNvGrpSpPr/>
                          <wpg:grpSpPr>
                            <a:xfrm>
                              <a:off x="0" y="0"/>
                              <a:ext cx="6382385" cy="3401568"/>
                              <a:chOff x="0" y="0"/>
                              <a:chExt cx="6381735"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10" y="761885"/>
                                <a:ext cx="5610225" cy="198131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600697CC" w14:textId="1227D7F8" w:rsidR="004E4C22" w:rsidRDefault="004E4C2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eastAsiaTheme="minorHAnsi"/>
                                      <w:sz w:val="50"/>
                                      <w:szCs w:val="50"/>
                                      <w:lang w:val="en-GB" w:eastAsia="en-US"/>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7FA473F" w14:textId="2924EF69" w:rsidR="004E4C22" w:rsidRPr="004E4C22" w:rsidRDefault="004E4C22" w:rsidP="004E4C22">
                                      <w:pPr>
                                        <w:pStyle w:val="NoSpacing"/>
                                        <w:spacing w:line="216" w:lineRule="auto"/>
                                        <w:rPr>
                                          <w:rFonts w:asciiTheme="majorHAnsi" w:hAnsiTheme="majorHAnsi"/>
                                          <w:caps/>
                                          <w:color w:val="44546A" w:themeColor="text2"/>
                                          <w:sz w:val="40"/>
                                          <w:szCs w:val="40"/>
                                        </w:rPr>
                                      </w:pPr>
                                      <w:r w:rsidRPr="004E4C22">
                                        <w:rPr>
                                          <w:rFonts w:eastAsiaTheme="minorHAnsi"/>
                                          <w:sz w:val="50"/>
                                          <w:szCs w:val="50"/>
                                          <w:lang w:val="en-GB" w:eastAsia="en-US"/>
                                        </w:rPr>
                                        <w:t>MMP_5_ICC INDIVIDUAL ESSAY</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D2398" id="Group 3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18;width:56102;height:198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600697CC" w14:textId="1227D7F8" w:rsidR="004E4C22" w:rsidRDefault="004E4C2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bookmarkStart w:id="1" w:name="_GoBack" w:displacedByCustomXml="next"/>
                          <w:sdt>
                            <w:sdtPr>
                              <w:rPr>
                                <w:rFonts w:eastAsiaTheme="minorHAnsi"/>
                                <w:sz w:val="50"/>
                                <w:szCs w:val="50"/>
                                <w:lang w:val="en-GB" w:eastAsia="en-US"/>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77FA473F" w14:textId="2924EF69" w:rsidR="004E4C22" w:rsidRPr="004E4C22" w:rsidRDefault="004E4C22" w:rsidP="004E4C22">
                                <w:pPr>
                                  <w:pStyle w:val="NoSpacing"/>
                                  <w:spacing w:line="216" w:lineRule="auto"/>
                                  <w:rPr>
                                    <w:rFonts w:asciiTheme="majorHAnsi" w:hAnsiTheme="majorHAnsi"/>
                                    <w:caps/>
                                    <w:color w:val="44546A" w:themeColor="text2"/>
                                    <w:sz w:val="40"/>
                                    <w:szCs w:val="40"/>
                                  </w:rPr>
                                </w:pPr>
                                <w:r w:rsidRPr="004E4C22">
                                  <w:rPr>
                                    <w:rFonts w:eastAsiaTheme="minorHAnsi"/>
                                    <w:sz w:val="50"/>
                                    <w:szCs w:val="50"/>
                                    <w:lang w:val="en-GB" w:eastAsia="en-US"/>
                                  </w:rPr>
                                  <w:t>MMP_5_ICC INDIVIDUAL ESSAY</w:t>
                                </w:r>
                              </w:p>
                            </w:sdtContent>
                          </w:sdt>
                          <w:bookmarkEnd w:id="1" w:displacedByCustomXml="prev"/>
                        </w:txbxContent>
                      </v:textbox>
                    </v:shape>
                    <w10:wrap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20F8B729" wp14:editId="03762FD7">
                    <wp:simplePos x="0" y="0"/>
                    <wp:positionH relativeFrom="page">
                      <wp:align>right</wp:align>
                    </wp:positionH>
                    <wp:positionV relativeFrom="page">
                      <wp:align>bottom</wp:align>
                    </wp:positionV>
                    <wp:extent cx="4672584" cy="3374136"/>
                    <wp:effectExtent l="0" t="0" r="0" b="0"/>
                    <wp:wrapNone/>
                    <wp:docPr id="454" name="Group 38"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0EFC5D7" w14:textId="6DC7A2FC" w:rsidR="004E4C22" w:rsidRDefault="004E4C22">
                                      <w:pPr>
                                        <w:pStyle w:val="NoSpacing"/>
                                        <w:spacing w:after="240"/>
                                        <w:jc w:val="right"/>
                                        <w:rPr>
                                          <w:color w:val="44546A" w:themeColor="text2"/>
                                          <w:spacing w:val="10"/>
                                          <w:sz w:val="36"/>
                                          <w:szCs w:val="36"/>
                                        </w:rPr>
                                      </w:pPr>
                                      <w:r>
                                        <w:rPr>
                                          <w:color w:val="44546A" w:themeColor="text2"/>
                                          <w:spacing w:val="10"/>
                                          <w:sz w:val="36"/>
                                          <w:szCs w:val="36"/>
                                        </w:rPr>
                                        <w:t>Student ID: S4240131</w:t>
                                      </w:r>
                                    </w:p>
                                  </w:sdtContent>
                                </w:sdt>
                                <w:p w14:paraId="298595FC" w14:textId="730DB829" w:rsidR="004E4C22" w:rsidRDefault="00B23721">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15:appearance w15:val="hidden"/>
                                      <w:text/>
                                    </w:sdtPr>
                                    <w:sdtEndPr/>
                                    <w:sdtContent>
                                      <w:r w:rsidR="004E4C22">
                                        <w:rPr>
                                          <w:color w:val="44546A" w:themeColor="text2"/>
                                          <w:spacing w:val="10"/>
                                          <w:sz w:val="28"/>
                                          <w:szCs w:val="28"/>
                                        </w:rPr>
                                        <w:t xml:space="preserve">     </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8B729" id="Group 38" o:spid="_x0000_s1031"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">
                    <v:group id="Group 455" o:spid="_x0000_s1032"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3"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34"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5"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20EFC5D7" w14:textId="6DC7A2FC" w:rsidR="004E4C22" w:rsidRDefault="004E4C22">
                                <w:pPr>
                                  <w:pStyle w:val="NoSpacing"/>
                                  <w:spacing w:after="240"/>
                                  <w:jc w:val="right"/>
                                  <w:rPr>
                                    <w:color w:val="44546A" w:themeColor="text2"/>
                                    <w:spacing w:val="10"/>
                                    <w:sz w:val="36"/>
                                    <w:szCs w:val="36"/>
                                  </w:rPr>
                                </w:pPr>
                                <w:r>
                                  <w:rPr>
                                    <w:color w:val="44546A" w:themeColor="text2"/>
                                    <w:spacing w:val="10"/>
                                    <w:sz w:val="36"/>
                                    <w:szCs w:val="36"/>
                                  </w:rPr>
                                  <w:t>Student ID: S4240131</w:t>
                                </w:r>
                              </w:p>
                            </w:sdtContent>
                          </w:sdt>
                          <w:p w14:paraId="298595FC" w14:textId="730DB829" w:rsidR="004E4C22" w:rsidRDefault="004E4C22">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 xml:space="preserve">     </w:t>
                                </w:r>
                              </w:sdtContent>
                            </w:sdt>
                          </w:p>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7E1BBB7E" wp14:editId="0962C0A3">
                    <wp:simplePos x="0" y="0"/>
                    <wp:positionH relativeFrom="page">
                      <wp:align>center</wp:align>
                    </wp:positionH>
                    <wp:positionV relativeFrom="page">
                      <wp:align>center</wp:align>
                    </wp:positionV>
                    <wp:extent cx="7315200" cy="9601200"/>
                    <wp:effectExtent l="0" t="0" r="1270" b="5715"/>
                    <wp:wrapNone/>
                    <wp:docPr id="464" name="Rectangle 40"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63F4141" id="Rectangle 40"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" fillcolor="#e7e6e6 [3214]" stroked="f">
                    <w10:wrap anchorx="page" anchory="page"/>
                  </v:rect>
                </w:pict>
              </mc:Fallback>
            </mc:AlternateContent>
          </w:r>
        </w:p>
        <w:p w14:paraId="2B77AE6F" w14:textId="32A8BC81" w:rsidR="004E4C22" w:rsidRDefault="004E4C22">
          <w:pPr>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br w:type="page"/>
          </w:r>
        </w:p>
      </w:sdtContent>
    </w:sdt>
    <w:p w14:paraId="2AE85778" w14:textId="3610541D"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lastRenderedPageBreak/>
        <w:t xml:space="preserve">The Role of Mindfulness in Marketing Communications </w:t>
      </w:r>
    </w:p>
    <w:p w14:paraId="2E70638C"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Part A: Introduction </w:t>
      </w:r>
    </w:p>
    <w:p w14:paraId="28A7BA3E" w14:textId="7DDEE3F8"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Mindfulness, defined as “moment-by-moment awareness of thoughts, feelings, and the surrounding environment” (Kumar et al., 2024, p. 978), has become a central concept in contemporary marketing. While initially linked to wellness and Eastern philosophical traditions, mindfulness is now a commercial strategy used </w:t>
      </w:r>
      <w:r>
        <w:rPr>
          <w:rFonts w:ascii="Calibri" w:eastAsia="Times New Roman" w:hAnsi="Calibri" w:cs="Calibri"/>
          <w:kern w:val="0"/>
          <w:sz w:val="22"/>
          <w:szCs w:val="22"/>
          <w:lang w:eastAsia="en-GB"/>
          <w14:ligatures w14:val="none"/>
        </w:rPr>
        <w:t xml:space="preserve">in modern day </w:t>
      </w:r>
      <w:r w:rsidRPr="004E4C22">
        <w:rPr>
          <w:rFonts w:ascii="Calibri" w:eastAsia="Times New Roman" w:hAnsi="Calibri" w:cs="Calibri"/>
          <w:kern w:val="0"/>
          <w:sz w:val="22"/>
          <w:szCs w:val="22"/>
          <w:lang w:eastAsia="en-GB"/>
          <w14:ligatures w14:val="none"/>
        </w:rPr>
        <w:t>to forge deeper connections between brands and consumers. Johnson et al. (2009) argue</w:t>
      </w:r>
      <w:r>
        <w:rPr>
          <w:rFonts w:ascii="Calibri" w:eastAsia="Times New Roman" w:hAnsi="Calibri" w:cs="Calibri"/>
          <w:kern w:val="0"/>
          <w:sz w:val="22"/>
          <w:szCs w:val="22"/>
          <w:lang w:eastAsia="en-GB"/>
          <w14:ligatures w14:val="none"/>
        </w:rPr>
        <w:t>s</w:t>
      </w:r>
      <w:r w:rsidRPr="004E4C22">
        <w:rPr>
          <w:rFonts w:ascii="Calibri" w:eastAsia="Times New Roman" w:hAnsi="Calibri" w:cs="Calibri"/>
          <w:kern w:val="0"/>
          <w:sz w:val="22"/>
          <w:szCs w:val="22"/>
          <w:lang w:eastAsia="en-GB"/>
          <w14:ligatures w14:val="none"/>
        </w:rPr>
        <w:t xml:space="preserve"> that mindfulness </w:t>
      </w:r>
      <w:r>
        <w:rPr>
          <w:rFonts w:ascii="Calibri" w:eastAsia="Times New Roman" w:hAnsi="Calibri" w:cs="Calibri"/>
          <w:kern w:val="0"/>
          <w:sz w:val="22"/>
          <w:szCs w:val="22"/>
          <w:lang w:eastAsia="en-GB"/>
          <w14:ligatures w14:val="none"/>
        </w:rPr>
        <w:t xml:space="preserve">heightens positive emotions, </w:t>
      </w:r>
      <w:r w:rsidRPr="004E4C22">
        <w:rPr>
          <w:rFonts w:ascii="Calibri" w:eastAsia="Times New Roman" w:hAnsi="Calibri" w:cs="Calibri"/>
          <w:kern w:val="0"/>
          <w:sz w:val="22"/>
          <w:szCs w:val="22"/>
          <w:lang w:eastAsia="en-GB"/>
          <w14:ligatures w14:val="none"/>
        </w:rPr>
        <w:t>promot</w:t>
      </w:r>
      <w:r>
        <w:rPr>
          <w:rFonts w:ascii="Calibri" w:eastAsia="Times New Roman" w:hAnsi="Calibri" w:cs="Calibri"/>
          <w:kern w:val="0"/>
          <w:sz w:val="22"/>
          <w:szCs w:val="22"/>
          <w:lang w:eastAsia="en-GB"/>
          <w14:ligatures w14:val="none"/>
        </w:rPr>
        <w:t>ing</w:t>
      </w:r>
      <w:r w:rsidRPr="004E4C22">
        <w:rPr>
          <w:rFonts w:ascii="Calibri" w:eastAsia="Times New Roman" w:hAnsi="Calibri" w:cs="Calibri"/>
          <w:kern w:val="0"/>
          <w:sz w:val="22"/>
          <w:szCs w:val="22"/>
          <w:lang w:eastAsia="en-GB"/>
          <w14:ligatures w14:val="none"/>
        </w:rPr>
        <w:t xml:space="preserve"> self-awareness, empathy, and environmental consciousness – qualities that are increasingly valued in consumer culture. This shift reflects a growing consumer preference for authenticity, ethical production, and emotional resonance, particular in a contemporary era where brand loyalty is often fragile. </w:t>
      </w:r>
    </w:p>
    <w:p w14:paraId="45A0A1D5"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The role of mindfulness in marketing communication extends beyond abstract principles. It manifests through sensory engagement, symbolic alignment, and identity-driven branding. By tapping into the psychological and emotional states of consumers, brands like </w:t>
      </w:r>
      <w:proofErr w:type="spellStart"/>
      <w:r w:rsidRPr="004E4C22">
        <w:rPr>
          <w:rFonts w:ascii="Calibri" w:eastAsia="Times New Roman" w:hAnsi="Calibri" w:cs="Calibri"/>
          <w:kern w:val="0"/>
          <w:sz w:val="22"/>
          <w:szCs w:val="22"/>
          <w:lang w:eastAsia="en-GB"/>
          <w14:ligatures w14:val="none"/>
        </w:rPr>
        <w:t>Pangaia</w:t>
      </w:r>
      <w:proofErr w:type="spellEnd"/>
      <w:r w:rsidRPr="004E4C22">
        <w:rPr>
          <w:rFonts w:ascii="Calibri" w:eastAsia="Times New Roman" w:hAnsi="Calibri" w:cs="Calibri"/>
          <w:kern w:val="0"/>
          <w:sz w:val="22"/>
          <w:szCs w:val="22"/>
          <w:lang w:eastAsia="en-GB"/>
          <w14:ligatures w14:val="none"/>
        </w:rPr>
        <w:t xml:space="preserve"> and Barbie have transformed consumer-brand relationships. This essay critically examines the role of mindfulness in marketing communication, analysing its theoretical foundations and strategic applications. Using the 2023 Barbie movie campaign as a case study, the essay illustrates how sensory marketing, symbolic triads, and interactional models were used to enhance engagement, drive cultural relevance, and build emotional connections. </w:t>
      </w:r>
    </w:p>
    <w:p w14:paraId="3E6D42E5"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Part B: Literature Review Conceptualizing Mindfulness in Marketing </w:t>
      </w:r>
    </w:p>
    <w:p w14:paraId="00AC0EDB"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Mindfulness in marketing can be understood through its emphasis on present-moment awareness and emotional self-regulation. Brown, Ryan, and Creswell (2007) conceptualize mindfulness as a “receptive attention to current events, realities, and experiences,” which fosters greater self-control and attentional capacity. This definition is pivotal to marketing communications as it influences consumer attention, perception, and decision-making. Weil (1989) further argues that Western consumers are particularly receptive to mindfulness due to its alignment with self-care, sustainability, and wellness trends. </w:t>
      </w:r>
    </w:p>
    <w:p w14:paraId="63C29BDB" w14:textId="16BD448D"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However, existing definitions of mindfulness in marketing are limited in scope. Much of the foundational research was conducted in specific contexts, such as healthcare (Australia and Malaysia) or consumer behaviour in Western economies. These regional and cultural constraints call into question the generalisability of existing studies. This is significant, as consumer behaviour has evolved in response to globalisation, social media, and the increased digitisation of brand-consumer interactions. As such, further research is needed to assess whether “mindfulness” operates differently across diverse consumer demographics. </w:t>
      </w:r>
      <w:r>
        <w:rPr>
          <w:rFonts w:ascii="Calibri" w:eastAsia="Times New Roman" w:hAnsi="Calibri" w:cs="Calibri"/>
          <w:kern w:val="0"/>
          <w:sz w:val="22"/>
          <w:szCs w:val="22"/>
          <w:lang w:eastAsia="en-GB"/>
          <w14:ligatures w14:val="none"/>
        </w:rPr>
        <w:t xml:space="preserve">Research by Stuart et al. 1987 does indicate that the exponential of classical conditioning through symbolic triads are more successful with new products/brands compared to familiar of mature products/brands, which have already been exposed to the public. </w:t>
      </w:r>
      <w:proofErr w:type="gramStart"/>
      <w:r>
        <w:rPr>
          <w:rFonts w:ascii="Calibri" w:eastAsia="Times New Roman" w:hAnsi="Calibri" w:cs="Calibri"/>
          <w:kern w:val="0"/>
          <w:sz w:val="22"/>
          <w:szCs w:val="22"/>
          <w:lang w:eastAsia="en-GB"/>
          <w14:ligatures w14:val="none"/>
        </w:rPr>
        <w:t>Therefore</w:t>
      </w:r>
      <w:proofErr w:type="gramEnd"/>
      <w:r>
        <w:rPr>
          <w:rFonts w:ascii="Calibri" w:eastAsia="Times New Roman" w:hAnsi="Calibri" w:cs="Calibri"/>
          <w:kern w:val="0"/>
          <w:sz w:val="22"/>
          <w:szCs w:val="22"/>
          <w:lang w:eastAsia="en-GB"/>
          <w14:ligatures w14:val="none"/>
        </w:rPr>
        <w:t xml:space="preserve"> if brands attempt to emotively associate ideas foreign to the stimuli presented, this may reduce the feeling of authenticity within their campaign efforts, possibly opposing prior thoughts and leading to confusion.</w:t>
      </w:r>
    </w:p>
    <w:p w14:paraId="3BE21885"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Integration of Mindfulness in Marketing Strategies </w:t>
      </w:r>
    </w:p>
    <w:p w14:paraId="6BD38433" w14:textId="60995979"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The integration of mindfulness into advertising has shifted from wellness associations to comprehensive strategi</w:t>
      </w:r>
      <w:r>
        <w:rPr>
          <w:rFonts w:ascii="Calibri" w:eastAsia="Times New Roman" w:hAnsi="Calibri" w:cs="Calibri"/>
          <w:kern w:val="0"/>
          <w:sz w:val="22"/>
          <w:szCs w:val="22"/>
          <w:lang w:eastAsia="en-GB"/>
          <w14:ligatures w14:val="none"/>
        </w:rPr>
        <w:t>c marketing</w:t>
      </w:r>
      <w:r w:rsidRPr="004E4C22">
        <w:rPr>
          <w:rFonts w:ascii="Calibri" w:eastAsia="Times New Roman" w:hAnsi="Calibri" w:cs="Calibri"/>
          <w:kern w:val="0"/>
          <w:sz w:val="22"/>
          <w:szCs w:val="22"/>
          <w:lang w:eastAsia="en-GB"/>
          <w14:ligatures w14:val="none"/>
        </w:rPr>
        <w:t xml:space="preserve">. Blackwell’s Consumer Decision Process (CDP) model </w:t>
      </w:r>
      <w:r>
        <w:rPr>
          <w:rFonts w:ascii="Calibri" w:eastAsia="Times New Roman" w:hAnsi="Calibri" w:cs="Calibri"/>
          <w:kern w:val="0"/>
          <w:sz w:val="22"/>
          <w:szCs w:val="22"/>
          <w:lang w:eastAsia="en-GB"/>
          <w14:ligatures w14:val="none"/>
        </w:rPr>
        <w:t xml:space="preserve">underscores the growing importance of individual differences in consumer behaviour, aligning the </w:t>
      </w:r>
      <w:r>
        <w:rPr>
          <w:rFonts w:ascii="Calibri" w:eastAsia="Times New Roman" w:hAnsi="Calibri" w:cs="Calibri"/>
          <w:kern w:val="0"/>
          <w:sz w:val="22"/>
          <w:szCs w:val="22"/>
          <w:lang w:eastAsia="en-GB"/>
          <w14:ligatures w14:val="none"/>
        </w:rPr>
        <w:lastRenderedPageBreak/>
        <w:t xml:space="preserve">personalised aspect of mindfulness </w:t>
      </w:r>
      <w:r w:rsidRPr="004E4C22">
        <w:rPr>
          <w:rFonts w:ascii="Calibri" w:eastAsia="Times New Roman" w:hAnsi="Calibri" w:cs="Calibri"/>
          <w:kern w:val="0"/>
          <w:sz w:val="22"/>
          <w:szCs w:val="22"/>
          <w:lang w:eastAsia="en-GB"/>
          <w14:ligatures w14:val="none"/>
        </w:rPr>
        <w:t xml:space="preserve">potently. </w:t>
      </w:r>
      <w:r>
        <w:rPr>
          <w:rFonts w:ascii="Calibri" w:eastAsia="Times New Roman" w:hAnsi="Calibri" w:cs="Calibri"/>
          <w:kern w:val="0"/>
          <w:sz w:val="22"/>
          <w:szCs w:val="22"/>
          <w:lang w:eastAsia="en-GB"/>
          <w14:ligatures w14:val="none"/>
        </w:rPr>
        <w:t xml:space="preserve">Blackwell does this by </w:t>
      </w:r>
      <w:r w:rsidRPr="004E4C22">
        <w:rPr>
          <w:rFonts w:ascii="Calibri" w:eastAsia="Times New Roman" w:hAnsi="Calibri" w:cs="Calibri"/>
          <w:kern w:val="0"/>
          <w:sz w:val="22"/>
          <w:szCs w:val="22"/>
          <w:lang w:eastAsia="en-GB"/>
          <w14:ligatures w14:val="none"/>
        </w:rPr>
        <w:t>align</w:t>
      </w:r>
      <w:r>
        <w:rPr>
          <w:rFonts w:ascii="Calibri" w:eastAsia="Times New Roman" w:hAnsi="Calibri" w:cs="Calibri"/>
          <w:kern w:val="0"/>
          <w:sz w:val="22"/>
          <w:szCs w:val="22"/>
          <w:lang w:eastAsia="en-GB"/>
          <w14:ligatures w14:val="none"/>
        </w:rPr>
        <w:t>ing</w:t>
      </w:r>
      <w:r w:rsidRPr="004E4C22">
        <w:rPr>
          <w:rFonts w:ascii="Calibri" w:eastAsia="Times New Roman" w:hAnsi="Calibri" w:cs="Calibri"/>
          <w:kern w:val="0"/>
          <w:sz w:val="22"/>
          <w:szCs w:val="22"/>
          <w:lang w:eastAsia="en-GB"/>
          <w14:ligatures w14:val="none"/>
        </w:rPr>
        <w:t xml:space="preserve"> the principles of mindfulness as a personalised, subjective experience. Mindful marketing strategies increasingly prioritise ethical messaging and symbolic meaning to differentiate brands from competitors. </w:t>
      </w:r>
    </w:p>
    <w:p w14:paraId="2C838939" w14:textId="330EF223" w:rsidR="004E4C22" w:rsidRPr="004E4C22" w:rsidRDefault="004E4C22" w:rsidP="004E4C22">
      <w:pPr>
        <w:rPr>
          <w:rFonts w:ascii="Times New Roman" w:eastAsia="Times New Roman" w:hAnsi="Times New Roman" w:cs="Times New Roman"/>
          <w:kern w:val="0"/>
          <w:lang w:eastAsia="en-GB"/>
          <w14:ligatures w14:val="none"/>
        </w:rPr>
      </w:pPr>
    </w:p>
    <w:p w14:paraId="4D340A60" w14:textId="67548416"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An illustrative example is </w:t>
      </w:r>
      <w:proofErr w:type="spellStart"/>
      <w:r w:rsidRPr="004E4C22">
        <w:rPr>
          <w:rFonts w:ascii="Calibri" w:eastAsia="Times New Roman" w:hAnsi="Calibri" w:cs="Calibri"/>
          <w:kern w:val="0"/>
          <w:sz w:val="22"/>
          <w:szCs w:val="22"/>
          <w:lang w:eastAsia="en-GB"/>
          <w14:ligatures w14:val="none"/>
        </w:rPr>
        <w:t>Pangaia’s</w:t>
      </w:r>
      <w:proofErr w:type="spellEnd"/>
      <w:r w:rsidRPr="004E4C22">
        <w:rPr>
          <w:rFonts w:ascii="Calibri" w:eastAsia="Times New Roman" w:hAnsi="Calibri" w:cs="Calibri"/>
          <w:kern w:val="0"/>
          <w:sz w:val="22"/>
          <w:szCs w:val="22"/>
          <w:lang w:eastAsia="en-GB"/>
          <w14:ligatures w14:val="none"/>
        </w:rPr>
        <w:t xml:space="preserve"> collaboration with Headspace for World Mental Health Day 2023. This campaign combined mindfulness with sustainable fashion, offering consumers access to Headspace’s mindfulness resources alongside ethically produced products. Charles Sanders Peirce’s symbolic triad (object, sign, interpretant) is a useful theoretical lens to analyse this strategy. Here, </w:t>
      </w:r>
      <w:proofErr w:type="spellStart"/>
      <w:r w:rsidRPr="004E4C22">
        <w:rPr>
          <w:rFonts w:ascii="Calibri" w:eastAsia="Times New Roman" w:hAnsi="Calibri" w:cs="Calibri"/>
          <w:kern w:val="0"/>
          <w:sz w:val="22"/>
          <w:szCs w:val="22"/>
          <w:lang w:eastAsia="en-GB"/>
          <w14:ligatures w14:val="none"/>
        </w:rPr>
        <w:t>Pangaia’s</w:t>
      </w:r>
      <w:proofErr w:type="spellEnd"/>
      <w:r w:rsidRPr="004E4C22">
        <w:rPr>
          <w:rFonts w:ascii="Calibri" w:eastAsia="Times New Roman" w:hAnsi="Calibri" w:cs="Calibri"/>
          <w:kern w:val="0"/>
          <w:sz w:val="22"/>
          <w:szCs w:val="22"/>
          <w:lang w:eastAsia="en-GB"/>
          <w14:ligatures w14:val="none"/>
        </w:rPr>
        <w:t xml:space="preserve"> products (object) were paired with visual cues of nature (sign) to create a symbolic narrative of “conscious consumption” (interpretant). This alignment appeals to consumers’ desire for ethical, mindful living, reinforcing </w:t>
      </w:r>
      <w:proofErr w:type="spellStart"/>
      <w:r w:rsidRPr="004E4C22">
        <w:rPr>
          <w:rFonts w:ascii="Calibri" w:eastAsia="Times New Roman" w:hAnsi="Calibri" w:cs="Calibri"/>
          <w:kern w:val="0"/>
          <w:sz w:val="22"/>
          <w:szCs w:val="22"/>
          <w:lang w:eastAsia="en-GB"/>
          <w14:ligatures w14:val="none"/>
        </w:rPr>
        <w:t>Pangaia’s</w:t>
      </w:r>
      <w:proofErr w:type="spellEnd"/>
      <w:r w:rsidRPr="004E4C22">
        <w:rPr>
          <w:rFonts w:ascii="Calibri" w:eastAsia="Times New Roman" w:hAnsi="Calibri" w:cs="Calibri"/>
          <w:kern w:val="0"/>
          <w:sz w:val="22"/>
          <w:szCs w:val="22"/>
          <w:lang w:eastAsia="en-GB"/>
          <w14:ligatures w14:val="none"/>
        </w:rPr>
        <w:t xml:space="preserve"> brand position as a leader in sustainable fashion. </w:t>
      </w:r>
    </w:p>
    <w:p w14:paraId="607EE754"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Sensory Marketing and Emotional Resonance </w:t>
      </w:r>
    </w:p>
    <w:p w14:paraId="7F7D7547" w14:textId="26C2792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Mindfulness plays a pivotal role in sensory marketing, as sensory cues elicit present-moment awareness. </w:t>
      </w:r>
      <w:proofErr w:type="spellStart"/>
      <w:r w:rsidRPr="004E4C22">
        <w:rPr>
          <w:rFonts w:ascii="Calibri" w:eastAsia="Times New Roman" w:hAnsi="Calibri" w:cs="Calibri"/>
          <w:kern w:val="0"/>
          <w:sz w:val="22"/>
          <w:szCs w:val="22"/>
          <w:lang w:eastAsia="en-GB"/>
          <w14:ligatures w14:val="none"/>
        </w:rPr>
        <w:t>Errmann</w:t>
      </w:r>
      <w:proofErr w:type="spellEnd"/>
      <w:r w:rsidRPr="004E4C22">
        <w:rPr>
          <w:rFonts w:ascii="Calibri" w:eastAsia="Times New Roman" w:hAnsi="Calibri" w:cs="Calibri"/>
          <w:kern w:val="0"/>
          <w:sz w:val="22"/>
          <w:szCs w:val="22"/>
          <w:lang w:eastAsia="en-GB"/>
          <w14:ligatures w14:val="none"/>
        </w:rPr>
        <w:t xml:space="preserve"> (2024) argues that sensory marketing relies on multi-sensory engagement (sight, sound, touch, taste, and smell) to create lasting brand impressions. This strategy is seen in Coca-Cola’s iconic “fizz” sound or the diffused “Stefan Floridian Waters” scent used by Singapore Airlines</w:t>
      </w:r>
      <w:r>
        <w:rPr>
          <w:rFonts w:ascii="Calibri" w:eastAsia="Times New Roman" w:hAnsi="Calibri" w:cs="Calibri"/>
          <w:kern w:val="0"/>
          <w:sz w:val="22"/>
          <w:szCs w:val="22"/>
          <w:lang w:eastAsia="en-GB"/>
          <w14:ligatures w14:val="none"/>
        </w:rPr>
        <w:t xml:space="preserve"> within cabins, lounges and offices. These are examples of mediums that </w:t>
      </w:r>
      <w:r>
        <w:rPr>
          <w:rFonts w:ascii="Arial" w:hAnsi="Arial" w:cs="Arial"/>
          <w:sz w:val="20"/>
          <w:szCs w:val="20"/>
        </w:rPr>
        <w:t xml:space="preserve">combine </w:t>
      </w:r>
      <w:r w:rsidRPr="004E4C22">
        <w:rPr>
          <w:rFonts w:ascii="Calibri" w:eastAsia="Times New Roman" w:hAnsi="Calibri" w:cs="Calibri"/>
          <w:kern w:val="0"/>
          <w:sz w:val="22"/>
          <w:szCs w:val="22"/>
          <w:lang w:eastAsia="en-GB"/>
          <w14:ligatures w14:val="none"/>
        </w:rPr>
        <w:t>sensory engagement with emotional experiences</w:t>
      </w:r>
      <w:r>
        <w:rPr>
          <w:rFonts w:ascii="Calibri" w:eastAsia="Times New Roman" w:hAnsi="Calibri" w:cs="Calibri"/>
          <w:kern w:val="0"/>
          <w:sz w:val="22"/>
          <w:szCs w:val="22"/>
          <w:lang w:eastAsia="en-GB"/>
          <w14:ligatures w14:val="none"/>
        </w:rPr>
        <w:t xml:space="preserve">. Using this, </w:t>
      </w:r>
      <w:r w:rsidRPr="004E4C22">
        <w:rPr>
          <w:rFonts w:ascii="Calibri" w:eastAsia="Times New Roman" w:hAnsi="Calibri" w:cs="Calibri"/>
          <w:kern w:val="0"/>
          <w:sz w:val="22"/>
          <w:szCs w:val="22"/>
          <w:lang w:eastAsia="en-GB"/>
          <w14:ligatures w14:val="none"/>
        </w:rPr>
        <w:t xml:space="preserve">brands can foster </w:t>
      </w:r>
      <w:r>
        <w:rPr>
          <w:rFonts w:ascii="Calibri" w:eastAsia="Times New Roman" w:hAnsi="Calibri" w:cs="Calibri"/>
          <w:kern w:val="0"/>
          <w:sz w:val="22"/>
          <w:szCs w:val="22"/>
          <w:lang w:eastAsia="en-GB"/>
          <w14:ligatures w14:val="none"/>
        </w:rPr>
        <w:t xml:space="preserve">further </w:t>
      </w:r>
      <w:r w:rsidRPr="004E4C22">
        <w:rPr>
          <w:rFonts w:ascii="Calibri" w:eastAsia="Times New Roman" w:hAnsi="Calibri" w:cs="Calibri"/>
          <w:kern w:val="0"/>
          <w:sz w:val="22"/>
          <w:szCs w:val="22"/>
          <w:lang w:eastAsia="en-GB"/>
          <w14:ligatures w14:val="none"/>
        </w:rPr>
        <w:t>emotional recall and positive brand associations</w:t>
      </w:r>
      <w:r>
        <w:rPr>
          <w:rFonts w:ascii="Calibri" w:eastAsia="Times New Roman" w:hAnsi="Calibri" w:cs="Calibri"/>
          <w:kern w:val="0"/>
          <w:sz w:val="22"/>
          <w:szCs w:val="22"/>
          <w:lang w:eastAsia="en-GB"/>
          <w14:ligatures w14:val="none"/>
        </w:rPr>
        <w:t xml:space="preserve"> </w:t>
      </w:r>
    </w:p>
    <w:p w14:paraId="0B0916FD"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Furthermore, Banister and Hogg (2024) posit that sensory marketing is particularly effective when it is linked to the consumer’s self-concept. Products are often perceived as symbols of identity, and consumers purchase items that reinforce their ideal self-image. This insight underpins the symbolic alignment found in sensory-driven campaigns. For example, brands like Chanel or Apple create sensory experiences that symbolise luxury, aspiration, and sophistication — elements that become integral to the consumer’s self-identity. </w:t>
      </w:r>
    </w:p>
    <w:p w14:paraId="76C3947D"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Part C: Analysis of the Barbie Movie Campaign (2023) Positioning and Brand Identity </w:t>
      </w:r>
    </w:p>
    <w:p w14:paraId="48248289" w14:textId="533B3F04"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The Barbie movie campaign in 2023 demonstrates the power of mindfulness-driven marketing. Traditionally associated with children’s toys, Barbie was repositioned as a symbol of modern womanhood, individuality, and self-expression. The campaign’s objective was to foster a deeper emotional connection with audiences, prompting reflection on themes of identity and empowerment. By leveraging Barbie’s nostalgic cultural presence, Mattel recontextualized the brand for adult consumers, embedding mindfulness principles into its core messaging. </w:t>
      </w:r>
    </w:p>
    <w:p w14:paraId="3BB096AA" w14:textId="236D65B4"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One notable technique was the use of ‘identity congruence’, where consumers align their self- identity with the brand’s symbolic meaning. By showcasing diverse Barbies with varying body types, careers, and personalities, the campaign reflected societal conversations around inclusion and representation. This was not just a symbolic gesture but a strategic application of mindfulness, encouraging consumers to reflect on their own individuality in the context of a shared cultural experience. </w:t>
      </w:r>
    </w:p>
    <w:p w14:paraId="0090C9E2"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Application of AIDA and Sensory Marketing </w:t>
      </w:r>
    </w:p>
    <w:p w14:paraId="4D9D9993" w14:textId="6E4CBDD9"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The AIDA model — Attention, Interest, Desire, and Action — is a foundational marketing tool, and its application is evident in Barbie’s campaign. ‘Attention’ was captured through striking visuals, </w:t>
      </w:r>
      <w:r w:rsidRPr="004E4C22">
        <w:rPr>
          <w:rFonts w:ascii="Calibri" w:eastAsia="Times New Roman" w:hAnsi="Calibri" w:cs="Calibri"/>
          <w:kern w:val="0"/>
          <w:sz w:val="22"/>
          <w:szCs w:val="22"/>
          <w:lang w:eastAsia="en-GB"/>
          <w14:ligatures w14:val="none"/>
        </w:rPr>
        <w:lastRenderedPageBreak/>
        <w:t xml:space="preserve">including Barbie-themed billboards, pink-branded packaging, and vibrant OOH advertising. </w:t>
      </w:r>
      <w:r>
        <w:rPr>
          <w:rFonts w:ascii="Calibri" w:eastAsia="Times New Roman" w:hAnsi="Calibri" w:cs="Calibri"/>
          <w:kern w:val="0"/>
          <w:sz w:val="22"/>
          <w:szCs w:val="22"/>
          <w:lang w:eastAsia="en-GB"/>
          <w14:ligatures w14:val="none"/>
        </w:rPr>
        <w:t>Due to the extensive history of the Barbie brand, which first launched in 1959, t</w:t>
      </w:r>
      <w:r w:rsidRPr="004E4C22">
        <w:rPr>
          <w:rFonts w:ascii="Calibri" w:eastAsia="Times New Roman" w:hAnsi="Calibri" w:cs="Calibri"/>
          <w:kern w:val="0"/>
          <w:sz w:val="22"/>
          <w:szCs w:val="22"/>
          <w:lang w:eastAsia="en-GB"/>
          <w14:ligatures w14:val="none"/>
        </w:rPr>
        <w:t>he iconic “Barbie pink” colour serve</w:t>
      </w:r>
      <w:r>
        <w:rPr>
          <w:rFonts w:ascii="Calibri" w:eastAsia="Times New Roman" w:hAnsi="Calibri" w:cs="Calibri"/>
          <w:kern w:val="0"/>
          <w:sz w:val="22"/>
          <w:szCs w:val="22"/>
          <w:lang w:eastAsia="en-GB"/>
          <w14:ligatures w14:val="none"/>
        </w:rPr>
        <w:t xml:space="preserve">s </w:t>
      </w:r>
      <w:r w:rsidRPr="004E4C22">
        <w:rPr>
          <w:rFonts w:ascii="Calibri" w:eastAsia="Times New Roman" w:hAnsi="Calibri" w:cs="Calibri"/>
          <w:kern w:val="0"/>
          <w:sz w:val="22"/>
          <w:szCs w:val="22"/>
          <w:lang w:eastAsia="en-GB"/>
          <w14:ligatures w14:val="none"/>
        </w:rPr>
        <w:t xml:space="preserve">as a symbolic trigger for nostalgia, recalling childhood memories. </w:t>
      </w:r>
      <w:r>
        <w:rPr>
          <w:rFonts w:ascii="Calibri" w:eastAsia="Times New Roman" w:hAnsi="Calibri" w:cs="Calibri"/>
          <w:kern w:val="0"/>
          <w:sz w:val="22"/>
          <w:szCs w:val="22"/>
          <w:lang w:eastAsia="en-GB"/>
          <w14:ligatures w14:val="none"/>
        </w:rPr>
        <w:t xml:space="preserve">Through the frequent classical conditioning of Barbie’s motifs. This </w:t>
      </w:r>
      <w:r w:rsidRPr="004E4C22">
        <w:rPr>
          <w:rFonts w:ascii="Calibri" w:eastAsia="Times New Roman" w:hAnsi="Calibri" w:cs="Calibri"/>
          <w:kern w:val="0"/>
          <w:sz w:val="22"/>
          <w:szCs w:val="22"/>
          <w:lang w:eastAsia="en-GB"/>
          <w14:ligatures w14:val="none"/>
        </w:rPr>
        <w:t xml:space="preserve">‘Interest’ was cultivated through high-profile collaborations with brands like Zara, OPI, and NYX, further broadening Barbie’s appeal. </w:t>
      </w:r>
    </w:p>
    <w:p w14:paraId="32197844" w14:textId="1E78B3DD" w:rsidR="004E4C22" w:rsidRPr="004E4C22" w:rsidRDefault="004E4C22" w:rsidP="004E4C22">
      <w:pPr>
        <w:rPr>
          <w:rFonts w:ascii="Times New Roman" w:eastAsia="Times New Roman" w:hAnsi="Times New Roman" w:cs="Times New Roman"/>
          <w:kern w:val="0"/>
          <w:lang w:eastAsia="en-GB"/>
          <w14:ligatures w14:val="none"/>
        </w:rPr>
      </w:pPr>
    </w:p>
    <w:p w14:paraId="1627A22C" w14:textId="2D596E41"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The creation of Barbie World by Ice Spice and Nicki Minaj illustrates the role of sensory marketing in shaping emotional experience. The auditory engagement created by the song amplified brand recognition. Belk (1991) suggests that personal possessions act as materialised memory, which is particularly relevant to Barbie. By tying the auditory cue of “Barbie World” to visual marketing (e.g., TikTok challenges), the campaign achieved cross-sensory resonance, thereby reinforcing Barbie’s presence across platforms. </w:t>
      </w:r>
      <w:proofErr w:type="gramStart"/>
      <w:r>
        <w:rPr>
          <w:rFonts w:ascii="Calibri" w:eastAsia="Times New Roman" w:hAnsi="Calibri" w:cs="Calibri"/>
          <w:kern w:val="0"/>
          <w:sz w:val="22"/>
          <w:szCs w:val="22"/>
          <w:lang w:eastAsia="en-GB"/>
          <w14:ligatures w14:val="none"/>
        </w:rPr>
        <w:t>Plus</w:t>
      </w:r>
      <w:proofErr w:type="gramEnd"/>
      <w:r>
        <w:rPr>
          <w:rFonts w:ascii="Calibri" w:eastAsia="Times New Roman" w:hAnsi="Calibri" w:cs="Calibri"/>
          <w:kern w:val="0"/>
          <w:sz w:val="22"/>
          <w:szCs w:val="22"/>
          <w:lang w:eastAsia="en-GB"/>
          <w14:ligatures w14:val="none"/>
        </w:rPr>
        <w:t xml:space="preserve"> the implementation of influencer (two-step) model</w:t>
      </w:r>
      <w:r w:rsidRPr="004E4C22">
        <w:rPr>
          <w:rFonts w:eastAsia="Times New Roman" w:cstheme="minorHAnsi"/>
          <w:kern w:val="0"/>
          <w:sz w:val="22"/>
          <w:szCs w:val="22"/>
          <w:lang w:eastAsia="en-GB"/>
          <w14:ligatures w14:val="none"/>
        </w:rPr>
        <w:t xml:space="preserve"> </w:t>
      </w:r>
      <w:r w:rsidRPr="004E4C22">
        <w:rPr>
          <w:rFonts w:ascii="Calibri" w:hAnsi="Calibri" w:cs="Calibri"/>
          <w:sz w:val="20"/>
          <w:szCs w:val="20"/>
        </w:rPr>
        <w:t xml:space="preserve">by </w:t>
      </w:r>
      <w:r w:rsidRPr="004E4C22">
        <w:rPr>
          <w:rFonts w:ascii="Calibri" w:hAnsi="Calibri" w:cs="Calibri"/>
          <w:sz w:val="22"/>
          <w:szCs w:val="22"/>
        </w:rPr>
        <w:t>inviting opinion leaders like Saffron Barker, and Opinion leaders like Nicki Minaj and Dua Lipa to the movie premier to once again heighten interest and desire to support this campaign</w:t>
      </w:r>
      <w:r>
        <w:rPr>
          <w:rFonts w:ascii="Calibri" w:hAnsi="Calibri" w:cs="Calibri"/>
          <w:sz w:val="22"/>
          <w:szCs w:val="22"/>
        </w:rPr>
        <w:t xml:space="preserve">. </w:t>
      </w:r>
      <w:r w:rsidRPr="004E4C22">
        <w:rPr>
          <w:rFonts w:ascii="Calibri" w:hAnsi="Calibri" w:cs="Calibri"/>
          <w:kern w:val="0"/>
          <w:sz w:val="22"/>
          <w:szCs w:val="22"/>
        </w:rPr>
        <w:t xml:space="preserve">McCracken, </w:t>
      </w:r>
      <w:proofErr w:type="gramStart"/>
      <w:r w:rsidRPr="004E4C22">
        <w:rPr>
          <w:rFonts w:ascii="Calibri" w:hAnsi="Calibri" w:cs="Calibri"/>
          <w:kern w:val="0"/>
          <w:sz w:val="22"/>
          <w:szCs w:val="22"/>
        </w:rPr>
        <w:t>1989;</w:t>
      </w:r>
      <w:r>
        <w:rPr>
          <w:rFonts w:ascii="Calibri" w:hAnsi="Calibri" w:cs="Calibri"/>
          <w:kern w:val="0"/>
          <w:sz w:val="22"/>
          <w:szCs w:val="22"/>
        </w:rPr>
        <w:t>and</w:t>
      </w:r>
      <w:proofErr w:type="gramEnd"/>
      <w:r w:rsidRPr="004E4C22">
        <w:rPr>
          <w:rFonts w:ascii="Calibri" w:hAnsi="Calibri" w:cs="Calibri"/>
          <w:kern w:val="0"/>
          <w:sz w:val="22"/>
          <w:szCs w:val="22"/>
        </w:rPr>
        <w:t xml:space="preserve"> </w:t>
      </w:r>
      <w:proofErr w:type="gramStart"/>
      <w:r w:rsidRPr="004E4C22">
        <w:rPr>
          <w:rFonts w:ascii="Calibri" w:hAnsi="Calibri" w:cs="Calibri"/>
          <w:kern w:val="0"/>
          <w:sz w:val="22"/>
          <w:szCs w:val="22"/>
        </w:rPr>
        <w:t>Till</w:t>
      </w:r>
      <w:proofErr w:type="gramEnd"/>
      <w:r w:rsidRPr="004E4C22">
        <w:rPr>
          <w:rFonts w:ascii="Calibri" w:hAnsi="Calibri" w:cs="Calibri"/>
          <w:kern w:val="0"/>
          <w:sz w:val="22"/>
          <w:szCs w:val="22"/>
        </w:rPr>
        <w:t xml:space="preserve"> et al., 2008</w:t>
      </w:r>
      <w:r>
        <w:rPr>
          <w:rFonts w:ascii="Calibri" w:hAnsi="Calibri" w:cs="Calibri"/>
          <w:kern w:val="0"/>
          <w:sz w:val="22"/>
          <w:szCs w:val="22"/>
        </w:rPr>
        <w:t xml:space="preserve"> believe</w:t>
      </w:r>
      <w:r w:rsidRPr="004E4C22">
        <w:rPr>
          <w:rFonts w:ascii="Calibri" w:hAnsi="Calibri" w:cs="Calibri"/>
          <w:kern w:val="0"/>
          <w:sz w:val="22"/>
          <w:szCs w:val="22"/>
        </w:rPr>
        <w:t xml:space="preserve"> this </w:t>
      </w:r>
      <w:r>
        <w:rPr>
          <w:rFonts w:ascii="Calibri" w:hAnsi="Calibri" w:cs="Calibri"/>
          <w:kern w:val="0"/>
          <w:sz w:val="22"/>
          <w:szCs w:val="22"/>
        </w:rPr>
        <w:t xml:space="preserve">growth in </w:t>
      </w:r>
      <w:r w:rsidRPr="004E4C22">
        <w:rPr>
          <w:rFonts w:ascii="Calibri" w:hAnsi="Calibri" w:cs="Calibri"/>
          <w:kern w:val="0"/>
          <w:sz w:val="22"/>
          <w:szCs w:val="22"/>
        </w:rPr>
        <w:t>interest through ‘meaning- transfer</w:t>
      </w:r>
      <w:r>
        <w:rPr>
          <w:rFonts w:ascii="Calibri" w:hAnsi="Calibri" w:cs="Calibri"/>
          <w:kern w:val="0"/>
          <w:sz w:val="22"/>
          <w:szCs w:val="22"/>
        </w:rPr>
        <w:t>’.</w:t>
      </w:r>
      <w:r w:rsidRPr="004E4C22">
        <w:rPr>
          <w:rFonts w:cstheme="minorHAnsi"/>
          <w:sz w:val="22"/>
          <w:szCs w:val="22"/>
        </w:rPr>
        <w:t xml:space="preserve"> </w:t>
      </w:r>
      <w:r>
        <w:rPr>
          <w:rFonts w:ascii="Calibri" w:eastAsia="Times New Roman" w:hAnsi="Calibri" w:cs="Calibri"/>
          <w:kern w:val="0"/>
          <w:sz w:val="22"/>
          <w:szCs w:val="22"/>
          <w:lang w:eastAsia="en-GB"/>
          <w14:ligatures w14:val="none"/>
        </w:rPr>
        <w:t xml:space="preserve">The integration of these forms of communication alluded to clear calls to action for interaction and attendance. The success of the campaigning efforts </w:t>
      </w:r>
      <w:proofErr w:type="gramStart"/>
      <w:r>
        <w:rPr>
          <w:rFonts w:ascii="Calibri" w:eastAsia="Times New Roman" w:hAnsi="Calibri" w:cs="Calibri"/>
          <w:kern w:val="0"/>
          <w:sz w:val="22"/>
          <w:szCs w:val="22"/>
          <w:lang w:eastAsia="en-GB"/>
          <w14:ligatures w14:val="none"/>
        </w:rPr>
        <w:t>were</w:t>
      </w:r>
      <w:proofErr w:type="gramEnd"/>
      <w:r>
        <w:rPr>
          <w:rFonts w:ascii="Calibri" w:eastAsia="Times New Roman" w:hAnsi="Calibri" w:cs="Calibri"/>
          <w:kern w:val="0"/>
          <w:sz w:val="22"/>
          <w:szCs w:val="22"/>
          <w:lang w:eastAsia="en-GB"/>
          <w14:ligatures w14:val="none"/>
        </w:rPr>
        <w:t xml:space="preserve"> historic, opening week the movie generated $356m the opening weekend around the world (The Guardian, 2023). Interestingly according to </w:t>
      </w:r>
      <w:proofErr w:type="spellStart"/>
      <w:r>
        <w:rPr>
          <w:rFonts w:ascii="Calibri" w:eastAsia="Times New Roman" w:hAnsi="Calibri" w:cs="Calibri"/>
          <w:kern w:val="0"/>
          <w:sz w:val="22"/>
          <w:szCs w:val="22"/>
          <w:lang w:eastAsia="en-GB"/>
          <w14:ligatures w14:val="none"/>
        </w:rPr>
        <w:t>PostTrack</w:t>
      </w:r>
      <w:proofErr w:type="spellEnd"/>
      <w:r>
        <w:rPr>
          <w:rFonts w:ascii="Calibri" w:eastAsia="Times New Roman" w:hAnsi="Calibri" w:cs="Calibri"/>
          <w:kern w:val="0"/>
          <w:sz w:val="22"/>
          <w:szCs w:val="22"/>
          <w:lang w:eastAsia="en-GB"/>
          <w14:ligatures w14:val="none"/>
        </w:rPr>
        <w:t xml:space="preserve">, Women made up 65% of the audience, with 40% of ticket buyers under the age of 25. </w:t>
      </w:r>
    </w:p>
    <w:p w14:paraId="098520D1"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The Interactional Model and Barbenheimer Phenomenon </w:t>
      </w:r>
    </w:p>
    <w:p w14:paraId="5348B98E"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One of the most compelling aspects of the Barbie campaign was the “Barbenheimer” cultural phenomenon, which occurred as Barbie’s release coincided with the release of Christopher Nolan’s </w:t>
      </w:r>
      <w:r w:rsidRPr="004E4C22">
        <w:rPr>
          <w:rFonts w:ascii="Calibri" w:eastAsia="Times New Roman" w:hAnsi="Calibri" w:cs="Calibri"/>
          <w:i/>
          <w:iCs/>
          <w:kern w:val="0"/>
          <w:sz w:val="22"/>
          <w:szCs w:val="22"/>
          <w:lang w:eastAsia="en-GB"/>
          <w14:ligatures w14:val="none"/>
        </w:rPr>
        <w:t>Oppenheimer</w:t>
      </w:r>
      <w:r w:rsidRPr="004E4C22">
        <w:rPr>
          <w:rFonts w:ascii="Calibri" w:eastAsia="Times New Roman" w:hAnsi="Calibri" w:cs="Calibri"/>
          <w:kern w:val="0"/>
          <w:sz w:val="22"/>
          <w:szCs w:val="22"/>
          <w:lang w:eastAsia="en-GB"/>
          <w14:ligatures w14:val="none"/>
        </w:rPr>
        <w:t xml:space="preserve">. While initially seen as a release date clash, it evolved into a synergistic cultural moment. </w:t>
      </w:r>
      <w:proofErr w:type="spellStart"/>
      <w:r w:rsidRPr="004E4C22">
        <w:rPr>
          <w:rFonts w:ascii="Calibri" w:eastAsia="Times New Roman" w:hAnsi="Calibri" w:cs="Calibri"/>
          <w:kern w:val="0"/>
          <w:sz w:val="22"/>
          <w:szCs w:val="22"/>
          <w:lang w:eastAsia="en-GB"/>
          <w14:ligatures w14:val="none"/>
        </w:rPr>
        <w:t>Vavre</w:t>
      </w:r>
      <w:proofErr w:type="spellEnd"/>
      <w:r w:rsidRPr="004E4C22">
        <w:rPr>
          <w:rFonts w:ascii="Calibri" w:eastAsia="Times New Roman" w:hAnsi="Calibri" w:cs="Calibri"/>
          <w:kern w:val="0"/>
          <w:sz w:val="22"/>
          <w:szCs w:val="22"/>
          <w:lang w:eastAsia="en-GB"/>
          <w14:ligatures w14:val="none"/>
        </w:rPr>
        <w:t xml:space="preserve"> (2015) notes that Generation Y and Z seek “educational engagement” in consumer decisions, and Barbenheimer exemplified this by sparking debates on social media platforms. </w:t>
      </w:r>
    </w:p>
    <w:p w14:paraId="28036F4E" w14:textId="59966959"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This phenomenon reflects the Interactional Model of Communication, </w:t>
      </w:r>
      <w:r>
        <w:rPr>
          <w:rFonts w:ascii="Calibri" w:eastAsia="Times New Roman" w:hAnsi="Calibri" w:cs="Calibri"/>
          <w:kern w:val="0"/>
          <w:sz w:val="22"/>
          <w:szCs w:val="22"/>
          <w:lang w:eastAsia="en-GB"/>
          <w14:ligatures w14:val="none"/>
        </w:rPr>
        <w:t xml:space="preserve">as it created a </w:t>
      </w:r>
      <w:r w:rsidRPr="004E4C22">
        <w:rPr>
          <w:rFonts w:ascii="Calibri" w:eastAsia="Times New Roman" w:hAnsi="Calibri" w:cs="Calibri"/>
          <w:kern w:val="0"/>
          <w:sz w:val="22"/>
          <w:szCs w:val="22"/>
          <w:lang w:eastAsia="en-GB"/>
          <w14:ligatures w14:val="none"/>
        </w:rPr>
        <w:t xml:space="preserve">feedback loop between brand and consumer </w:t>
      </w:r>
      <w:r>
        <w:rPr>
          <w:rFonts w:ascii="Calibri" w:eastAsia="Times New Roman" w:hAnsi="Calibri" w:cs="Calibri"/>
          <w:kern w:val="0"/>
          <w:sz w:val="22"/>
          <w:szCs w:val="22"/>
          <w:lang w:eastAsia="en-GB"/>
          <w14:ligatures w14:val="none"/>
        </w:rPr>
        <w:t>encouraging</w:t>
      </w:r>
      <w:r w:rsidRPr="004E4C22">
        <w:rPr>
          <w:rFonts w:ascii="Calibri" w:eastAsia="Times New Roman" w:hAnsi="Calibri" w:cs="Calibri"/>
          <w:kern w:val="0"/>
          <w:sz w:val="22"/>
          <w:szCs w:val="22"/>
          <w:lang w:eastAsia="en-GB"/>
          <w14:ligatures w14:val="none"/>
        </w:rPr>
        <w:t xml:space="preserve"> organic, peer-to-peer discussion. The playful juxtaposition of Barbie’s whimsy against Oppenheimer’s intensity fuelled global conversations, subsequently enhancing brand visibility. The cultural currency of “Barbenheimer” is an example of “accidental virality” — a concept that has yet to be thoroughly explored in marketing literature. It also demonstrates how brands can benefit from unplanned cultural synergy, pointing to the unpredictable power of consumer-driven narratives. </w:t>
      </w:r>
    </w:p>
    <w:p w14:paraId="26D1BA56"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Sensory Engagement and Nostalgia </w:t>
      </w:r>
    </w:p>
    <w:p w14:paraId="56E63528"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Mindfulness was embedded in the Barbie campaign through sensory engagement and nostalgia. The colour pink, symbolic of Barbie, was used throughout marketing materials, creating a perceptual cue for instant brand recognition. Belk’s (1991) argument that possessions materialise memory applies directly here; by engaging consumers’ childhood memories of Barbie, the campaign connected past and present selves, aligning with mindfulness principles of present-moment reflection. </w:t>
      </w:r>
    </w:p>
    <w:p w14:paraId="5892170C" w14:textId="77777777"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b/>
          <w:bCs/>
          <w:kern w:val="0"/>
          <w:sz w:val="22"/>
          <w:szCs w:val="22"/>
          <w:lang w:eastAsia="en-GB"/>
          <w14:ligatures w14:val="none"/>
        </w:rPr>
        <w:t xml:space="preserve">Conclusion </w:t>
      </w:r>
    </w:p>
    <w:p w14:paraId="26E73C13" w14:textId="0FA834A1" w:rsidR="004E4C22" w:rsidRPr="004E4C22" w:rsidRDefault="004E4C22" w:rsidP="004E4C22">
      <w:pPr>
        <w:spacing w:before="100" w:beforeAutospacing="1" w:after="100" w:afterAutospacing="1"/>
        <w:rPr>
          <w:rFonts w:ascii="Times New Roman" w:eastAsia="Times New Roman" w:hAnsi="Times New Roman" w:cs="Times New Roman"/>
          <w:kern w:val="0"/>
          <w:lang w:eastAsia="en-GB"/>
          <w14:ligatures w14:val="none"/>
        </w:rPr>
      </w:pPr>
      <w:r w:rsidRPr="004E4C22">
        <w:rPr>
          <w:rFonts w:ascii="Calibri" w:eastAsia="Times New Roman" w:hAnsi="Calibri" w:cs="Calibri"/>
          <w:kern w:val="0"/>
          <w:sz w:val="22"/>
          <w:szCs w:val="22"/>
          <w:lang w:eastAsia="en-GB"/>
          <w14:ligatures w14:val="none"/>
        </w:rPr>
        <w:t xml:space="preserve">The integration of mindfulness into marketing communications represents a shift from transactional advertising to emotionally resonant, consumer-centric storytelling. By incorporating mindfulness into advertising models like AIDA, sensory marketing, and symbolic triads, brands can create </w:t>
      </w:r>
      <w:r w:rsidRPr="004E4C22">
        <w:rPr>
          <w:rFonts w:ascii="Calibri" w:eastAsia="Times New Roman" w:hAnsi="Calibri" w:cs="Calibri"/>
          <w:kern w:val="0"/>
          <w:sz w:val="22"/>
          <w:szCs w:val="22"/>
          <w:lang w:eastAsia="en-GB"/>
          <w14:ligatures w14:val="none"/>
        </w:rPr>
        <w:lastRenderedPageBreak/>
        <w:t xml:space="preserve">meaningful connections with consumers. The Barbie campaign demonstrates how nostalgia, sensory engagement, and symbolic congruence can be harnessed to foster emotional bonds. Beyond commercial success, the campaign’s impact on cultural discourse highlights the transformative potential of mindful marketing. By blending commercial strategy with social commentary, Barbie reasserted itself as both a cultural icon and a commercial juggernaut, setting a new benchmark for mindful marketing in practice. </w:t>
      </w:r>
      <w:r>
        <w:rPr>
          <w:rFonts w:ascii="Calibri" w:eastAsia="Times New Roman" w:hAnsi="Calibri" w:cs="Calibri"/>
          <w:kern w:val="0"/>
          <w:sz w:val="22"/>
          <w:szCs w:val="22"/>
          <w:lang w:eastAsia="en-GB"/>
          <w14:ligatures w14:val="none"/>
        </w:rPr>
        <w:t xml:space="preserve">The evident contrast to </w:t>
      </w:r>
      <w:proofErr w:type="spellStart"/>
      <w:r>
        <w:rPr>
          <w:rFonts w:ascii="Calibri" w:eastAsia="Times New Roman" w:hAnsi="Calibri" w:cs="Calibri"/>
          <w:kern w:val="0"/>
          <w:sz w:val="22"/>
          <w:szCs w:val="22"/>
          <w:lang w:eastAsia="en-GB"/>
          <w14:ligatures w14:val="none"/>
        </w:rPr>
        <w:t>Pangaia’s</w:t>
      </w:r>
      <w:proofErr w:type="spellEnd"/>
      <w:r>
        <w:rPr>
          <w:rFonts w:ascii="Calibri" w:eastAsia="Times New Roman" w:hAnsi="Calibri" w:cs="Calibri"/>
          <w:kern w:val="0"/>
          <w:sz w:val="22"/>
          <w:szCs w:val="22"/>
          <w:lang w:eastAsia="en-GB"/>
          <w14:ligatures w14:val="none"/>
        </w:rPr>
        <w:t xml:space="preserve"> strategy depicts how various implementations of mindfulness can resonate with consumers and yield success.</w:t>
      </w:r>
      <w:r>
        <w:tab/>
      </w:r>
    </w:p>
    <w:p w14:paraId="5347C5A0" w14:textId="77777777" w:rsidR="004E4C22" w:rsidRDefault="004E4C22" w:rsidP="004E4C22">
      <w:pPr>
        <w:tabs>
          <w:tab w:val="left" w:pos="1863"/>
        </w:tabs>
      </w:pPr>
    </w:p>
    <w:p w14:paraId="4BD71092" w14:textId="77777777" w:rsidR="004E4C22" w:rsidRDefault="004E4C22" w:rsidP="004E4C22">
      <w:pPr>
        <w:tabs>
          <w:tab w:val="left" w:pos="1863"/>
        </w:tabs>
      </w:pPr>
    </w:p>
    <w:p w14:paraId="632A535B" w14:textId="038E63AC" w:rsidR="004E4C22" w:rsidRDefault="004E4C22" w:rsidP="004E4C22">
      <w:pPr>
        <w:tabs>
          <w:tab w:val="left" w:pos="1863"/>
        </w:tabs>
      </w:pPr>
      <w:r>
        <w:t>Appendix 1 – Sensory Marketing Frameworks</w:t>
      </w:r>
    </w:p>
    <w:p w14:paraId="6AC3FFB5" w14:textId="77777777" w:rsidR="004E4C22" w:rsidRDefault="004E4C22" w:rsidP="004E4C22">
      <w:pPr>
        <w:tabs>
          <w:tab w:val="left" w:pos="1863"/>
        </w:tabs>
      </w:pPr>
    </w:p>
    <w:p w14:paraId="32FB5FE8" w14:textId="77777777" w:rsidR="004E4C22" w:rsidRDefault="004E4C22" w:rsidP="004E4C22">
      <w:pPr>
        <w:tabs>
          <w:tab w:val="left" w:pos="1863"/>
        </w:tabs>
      </w:pPr>
    </w:p>
    <w:p w14:paraId="0619A490" w14:textId="77777777" w:rsidR="004E4C22" w:rsidRDefault="004E4C22" w:rsidP="004E4C22">
      <w:pPr>
        <w:tabs>
          <w:tab w:val="left" w:pos="1863"/>
        </w:tabs>
      </w:pPr>
    </w:p>
    <w:p w14:paraId="238C4CF8" w14:textId="0D5ED5F2" w:rsidR="004E4C22" w:rsidRDefault="004E4C22" w:rsidP="004E4C22">
      <w:pPr>
        <w:tabs>
          <w:tab w:val="left" w:pos="1863"/>
        </w:tabs>
      </w:pPr>
      <w:r w:rsidRPr="001601CE">
        <w:rPr>
          <w:noProof/>
        </w:rPr>
        <w:drawing>
          <wp:inline distT="0" distB="0" distL="0" distR="0" wp14:anchorId="0A42637C" wp14:editId="2FEF32DC">
            <wp:extent cx="5148943" cy="2945465"/>
            <wp:effectExtent l="0" t="0" r="0" b="7620"/>
            <wp:docPr id="1784666481" name="Picture 1" descr="A diagram of a mental health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6481" name="Picture 1" descr="A diagram of a mental health model&#10;&#10;Description automatically generated with medium confidence"/>
                    <pic:cNvPicPr/>
                  </pic:nvPicPr>
                  <pic:blipFill>
                    <a:blip r:embed="rId4"/>
                    <a:stretch>
                      <a:fillRect/>
                    </a:stretch>
                  </pic:blipFill>
                  <pic:spPr>
                    <a:xfrm>
                      <a:off x="0" y="0"/>
                      <a:ext cx="5167949" cy="2956337"/>
                    </a:xfrm>
                    <a:prstGeom prst="rect">
                      <a:avLst/>
                    </a:prstGeom>
                  </pic:spPr>
                </pic:pic>
              </a:graphicData>
            </a:graphic>
          </wp:inline>
        </w:drawing>
      </w:r>
    </w:p>
    <w:p w14:paraId="152C1DE3" w14:textId="77777777" w:rsidR="004E4C22" w:rsidRDefault="004E4C22" w:rsidP="004E4C22">
      <w:pPr>
        <w:tabs>
          <w:tab w:val="left" w:pos="1863"/>
        </w:tabs>
      </w:pPr>
    </w:p>
    <w:p w14:paraId="4548960F" w14:textId="77777777" w:rsidR="004E4C22" w:rsidRDefault="004E4C22" w:rsidP="004E4C22">
      <w:pPr>
        <w:tabs>
          <w:tab w:val="left" w:pos="1863"/>
        </w:tabs>
      </w:pPr>
    </w:p>
    <w:p w14:paraId="136A8A8B" w14:textId="77777777" w:rsidR="004E4C22" w:rsidRDefault="004E4C22" w:rsidP="004E4C22">
      <w:pPr>
        <w:tabs>
          <w:tab w:val="left" w:pos="1863"/>
        </w:tabs>
      </w:pPr>
    </w:p>
    <w:p w14:paraId="02791C53" w14:textId="76858DB5" w:rsidR="004E4C22" w:rsidRDefault="004E4C22" w:rsidP="004E4C22">
      <w:pPr>
        <w:pStyle w:val="Heading2"/>
      </w:pPr>
      <w:bookmarkStart w:id="0" w:name="_Toc150597341"/>
      <w:r>
        <w:t>Appendix 2 – Consumer Decision Making Frameworks</w:t>
      </w:r>
      <w:bookmarkEnd w:id="0"/>
      <w:r>
        <w:tab/>
      </w:r>
    </w:p>
    <w:p w14:paraId="7B405F5C" w14:textId="77777777" w:rsidR="004E4C22" w:rsidRDefault="004E4C22" w:rsidP="004E4C22">
      <w:pPr>
        <w:spacing w:line="259" w:lineRule="auto"/>
        <w:rPr>
          <w:i/>
          <w:iCs/>
        </w:rPr>
      </w:pPr>
      <w:r w:rsidRPr="00E77BCB">
        <w:rPr>
          <w:i/>
          <w:iCs/>
        </w:rPr>
        <w:t>Figure 1 – Types of Behavioural and Cognitive learning (Fill &amp; Turnbull, 2019)</w:t>
      </w:r>
    </w:p>
    <w:p w14:paraId="12D1B148" w14:textId="257D1A14" w:rsidR="004E4C22" w:rsidRDefault="004E4C22" w:rsidP="004E4C22">
      <w:pPr>
        <w:tabs>
          <w:tab w:val="left" w:pos="1863"/>
        </w:tabs>
      </w:pPr>
      <w:r w:rsidRPr="008770E2">
        <w:rPr>
          <w:noProof/>
        </w:rPr>
        <w:drawing>
          <wp:inline distT="0" distB="0" distL="0" distR="0" wp14:anchorId="35D784DD" wp14:editId="2810D379">
            <wp:extent cx="4750904" cy="2256495"/>
            <wp:effectExtent l="0" t="0" r="0" b="4445"/>
            <wp:docPr id="55542990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9905" name="Picture 1" descr="A close-up of a chart&#10;&#10;Description automatically generated"/>
                    <pic:cNvPicPr/>
                  </pic:nvPicPr>
                  <pic:blipFill>
                    <a:blip r:embed="rId5"/>
                    <a:stretch>
                      <a:fillRect/>
                    </a:stretch>
                  </pic:blipFill>
                  <pic:spPr>
                    <a:xfrm>
                      <a:off x="0" y="0"/>
                      <a:ext cx="4769843" cy="2265490"/>
                    </a:xfrm>
                    <a:prstGeom prst="rect">
                      <a:avLst/>
                    </a:prstGeom>
                  </pic:spPr>
                </pic:pic>
              </a:graphicData>
            </a:graphic>
          </wp:inline>
        </w:drawing>
      </w:r>
    </w:p>
    <w:p w14:paraId="13C34394" w14:textId="77777777" w:rsidR="004E4C22" w:rsidRDefault="004E4C22" w:rsidP="004E4C22">
      <w:pPr>
        <w:tabs>
          <w:tab w:val="left" w:pos="1863"/>
        </w:tabs>
      </w:pPr>
    </w:p>
    <w:p w14:paraId="221545A5" w14:textId="77777777" w:rsidR="004E4C22" w:rsidRDefault="004E4C22" w:rsidP="004E4C22">
      <w:pPr>
        <w:tabs>
          <w:tab w:val="left" w:pos="1863"/>
        </w:tabs>
      </w:pPr>
      <w:r>
        <w:t>Figure 3 – Sequential models of marketing communications.</w:t>
      </w:r>
    </w:p>
    <w:p w14:paraId="50D9D292" w14:textId="77777777" w:rsidR="004E4C22" w:rsidRDefault="004E4C22" w:rsidP="004E4C22">
      <w:pPr>
        <w:tabs>
          <w:tab w:val="left" w:pos="1863"/>
        </w:tabs>
      </w:pPr>
    </w:p>
    <w:p w14:paraId="17CE3988" w14:textId="77777777" w:rsidR="004E4C22" w:rsidRDefault="004E4C22" w:rsidP="004E4C22">
      <w:pPr>
        <w:tabs>
          <w:tab w:val="left" w:pos="1863"/>
        </w:tabs>
      </w:pPr>
    </w:p>
    <w:p w14:paraId="61993F90" w14:textId="339D71B5" w:rsidR="004E4C22" w:rsidRDefault="004E4C22" w:rsidP="004E4C22">
      <w:pPr>
        <w:tabs>
          <w:tab w:val="left" w:pos="1863"/>
        </w:tabs>
      </w:pPr>
      <w:r w:rsidRPr="001601CE">
        <w:rPr>
          <w:noProof/>
        </w:rPr>
        <w:drawing>
          <wp:inline distT="0" distB="0" distL="0" distR="0" wp14:anchorId="3A1FEDA4" wp14:editId="41D8D729">
            <wp:extent cx="4591878" cy="3325628"/>
            <wp:effectExtent l="0" t="0" r="5715" b="1905"/>
            <wp:docPr id="2065153607" name="Picture 1" descr="A chart with text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53607" name="Picture 1" descr="A chart with text and arrows&#10;&#10;Description automatically generated with medium confidence"/>
                    <pic:cNvPicPr/>
                  </pic:nvPicPr>
                  <pic:blipFill>
                    <a:blip r:embed="rId6"/>
                    <a:stretch>
                      <a:fillRect/>
                    </a:stretch>
                  </pic:blipFill>
                  <pic:spPr>
                    <a:xfrm>
                      <a:off x="0" y="0"/>
                      <a:ext cx="4619416" cy="3345572"/>
                    </a:xfrm>
                    <a:prstGeom prst="rect">
                      <a:avLst/>
                    </a:prstGeom>
                  </pic:spPr>
                </pic:pic>
              </a:graphicData>
            </a:graphic>
          </wp:inline>
        </w:drawing>
      </w:r>
    </w:p>
    <w:p w14:paraId="5BE2F2A1" w14:textId="77777777" w:rsidR="004E4C22" w:rsidRDefault="004E4C22" w:rsidP="004E4C22">
      <w:pPr>
        <w:tabs>
          <w:tab w:val="left" w:pos="1863"/>
        </w:tabs>
      </w:pPr>
    </w:p>
    <w:p w14:paraId="33FA0223" w14:textId="251D7FC5" w:rsidR="004E4C22" w:rsidRDefault="004E4C22" w:rsidP="004E4C22">
      <w:pPr>
        <w:tabs>
          <w:tab w:val="left" w:pos="1863"/>
        </w:tabs>
      </w:pPr>
    </w:p>
    <w:p w14:paraId="1D09C037" w14:textId="43CB55D2" w:rsidR="004E4C22" w:rsidRDefault="004E4C22" w:rsidP="004E4C22">
      <w:pPr>
        <w:tabs>
          <w:tab w:val="left" w:pos="1863"/>
        </w:tabs>
      </w:pPr>
    </w:p>
    <w:p w14:paraId="00A2E7EB" w14:textId="4B04B2AD" w:rsidR="004E4C22" w:rsidRDefault="004E4C22" w:rsidP="004E4C22">
      <w:pPr>
        <w:tabs>
          <w:tab w:val="left" w:pos="1863"/>
        </w:tabs>
      </w:pPr>
    </w:p>
    <w:p w14:paraId="080AFDFC" w14:textId="32D97316" w:rsidR="004E4C22" w:rsidRPr="004E4C22" w:rsidRDefault="004E4C22" w:rsidP="004E4C22">
      <w:pPr>
        <w:tabs>
          <w:tab w:val="left" w:pos="1863"/>
        </w:tabs>
        <w:rPr>
          <w:b/>
          <w:bCs/>
        </w:rPr>
      </w:pPr>
      <w:r w:rsidRPr="004E4C22">
        <w:rPr>
          <w:b/>
          <w:bCs/>
        </w:rPr>
        <w:t>Appendix 3 – Examples of Sensory Cues in Marcomm</w:t>
      </w:r>
    </w:p>
    <w:p w14:paraId="7DA8D0E3" w14:textId="77777777" w:rsidR="004E4C22" w:rsidRDefault="004E4C22" w:rsidP="004E4C22">
      <w:pPr>
        <w:tabs>
          <w:tab w:val="left" w:pos="1863"/>
        </w:tabs>
      </w:pPr>
    </w:p>
    <w:p w14:paraId="2CFA7AE2" w14:textId="204E12BA" w:rsidR="004E4C22" w:rsidRDefault="004E4C22" w:rsidP="004E4C22">
      <w:pPr>
        <w:tabs>
          <w:tab w:val="left" w:pos="1863"/>
        </w:tabs>
      </w:pPr>
      <w:r>
        <w:rPr>
          <w:noProof/>
        </w:rPr>
        <w:drawing>
          <wp:inline distT="0" distB="0" distL="0" distR="0" wp14:anchorId="6E313F10" wp14:editId="52659E5C">
            <wp:extent cx="2743200" cy="2199676"/>
            <wp:effectExtent l="0" t="0" r="0" b="0"/>
            <wp:docPr id="373008181" name="Picture 16" descr="A pink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08181" name="Picture 16" descr="A pink squares with black text&#10;&#10;Description automatically generated"/>
                    <pic:cNvPicPr/>
                  </pic:nvPicPr>
                  <pic:blipFill rotWithShape="1">
                    <a:blip r:embed="rId7" cstate="print">
                      <a:extLst>
                        <a:ext uri="{28A0092B-C50C-407E-A947-70E740481C1C}">
                          <a14:useLocalDpi xmlns:a14="http://schemas.microsoft.com/office/drawing/2010/main" val="0"/>
                        </a:ext>
                      </a:extLst>
                    </a:blip>
                    <a:srcRect l="11165" t="30950" r="4389" b="37759"/>
                    <a:stretch/>
                  </pic:blipFill>
                  <pic:spPr bwMode="auto">
                    <a:xfrm>
                      <a:off x="0" y="0"/>
                      <a:ext cx="2748182" cy="2203671"/>
                    </a:xfrm>
                    <a:prstGeom prst="rect">
                      <a:avLst/>
                    </a:prstGeom>
                    <a:ln>
                      <a:noFill/>
                    </a:ln>
                    <a:extLst>
                      <a:ext uri="{53640926-AAD7-44D8-BBD7-CCE9431645EC}">
                        <a14:shadowObscured xmlns:a14="http://schemas.microsoft.com/office/drawing/2010/main"/>
                      </a:ext>
                    </a:extLst>
                  </pic:spPr>
                </pic:pic>
              </a:graphicData>
            </a:graphic>
          </wp:inline>
        </w:drawing>
      </w:r>
    </w:p>
    <w:p w14:paraId="70CE6F69" w14:textId="77777777" w:rsidR="004E4C22" w:rsidRDefault="004E4C22" w:rsidP="004E4C22">
      <w:pPr>
        <w:tabs>
          <w:tab w:val="left" w:pos="1863"/>
        </w:tabs>
      </w:pPr>
    </w:p>
    <w:p w14:paraId="56F99910" w14:textId="0825B228" w:rsidR="004E4C22" w:rsidRDefault="004E4C22" w:rsidP="004E4C22">
      <w:pPr>
        <w:tabs>
          <w:tab w:val="left" w:pos="1863"/>
        </w:tabs>
      </w:pPr>
      <w:r>
        <w:t xml:space="preserve">Figure 4 displays the evolution of ‘Barbie pink’ in comparison to popular hues of pink. Barbie’s pink has drawn closer to the Christmas pink, and further from hot pink. Barbie’s developed association with a specific colour has enabled visual cues within various campaigns to feel organically interlinked.  </w:t>
      </w:r>
    </w:p>
    <w:p w14:paraId="2424060C" w14:textId="3D15477E" w:rsidR="004E4C22" w:rsidRDefault="004E4C22" w:rsidP="004E4C22">
      <w:pPr>
        <w:tabs>
          <w:tab w:val="left" w:pos="1863"/>
        </w:tabs>
      </w:pPr>
      <w:r>
        <w:rPr>
          <w:noProof/>
        </w:rPr>
        <w:lastRenderedPageBreak/>
        <w:drawing>
          <wp:anchor distT="0" distB="0" distL="114300" distR="114300" simplePos="0" relativeHeight="251663360" behindDoc="1" locked="0" layoutInCell="1" allowOverlap="1" wp14:anchorId="78A3E197" wp14:editId="3E9AC433">
            <wp:simplePos x="0" y="0"/>
            <wp:positionH relativeFrom="column">
              <wp:posOffset>2760206</wp:posOffset>
            </wp:positionH>
            <wp:positionV relativeFrom="paragraph">
              <wp:posOffset>49558</wp:posOffset>
            </wp:positionV>
            <wp:extent cx="3312160" cy="3239135"/>
            <wp:effectExtent l="0" t="0" r="2540" b="0"/>
            <wp:wrapSquare wrapText="bothSides"/>
            <wp:docPr id="1466647835" name="Picture 9" descr="A pink double decker bus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47835" name="Picture 9" descr="A pink double decker bus on the street&#10;&#10;Description automatically generated"/>
                    <pic:cNvPicPr/>
                  </pic:nvPicPr>
                  <pic:blipFill rotWithShape="1">
                    <a:blip r:embed="rId8" cstate="print">
                      <a:extLst>
                        <a:ext uri="{28A0092B-C50C-407E-A947-70E740481C1C}">
                          <a14:useLocalDpi xmlns:a14="http://schemas.microsoft.com/office/drawing/2010/main" val="0"/>
                        </a:ext>
                      </a:extLst>
                    </a:blip>
                    <a:srcRect t="28596" b="26213"/>
                    <a:stretch/>
                  </pic:blipFill>
                  <pic:spPr bwMode="auto">
                    <a:xfrm>
                      <a:off x="0" y="0"/>
                      <a:ext cx="3312160" cy="323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1E7835" wp14:editId="251C028E">
            <wp:extent cx="2584174" cy="3771758"/>
            <wp:effectExtent l="0" t="0" r="0" b="635"/>
            <wp:docPr id="1941506639" name="Picture 13" descr="A mannequin in a swimsuit in front of a large pink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6639" name="Picture 13" descr="A mannequin in a swimsuit in front of a large pink bag&#10;&#10;Description automatically generated"/>
                    <pic:cNvPicPr/>
                  </pic:nvPicPr>
                  <pic:blipFill rotWithShape="1">
                    <a:blip r:embed="rId9" cstate="print">
                      <a:extLst>
                        <a:ext uri="{28A0092B-C50C-407E-A947-70E740481C1C}">
                          <a14:useLocalDpi xmlns:a14="http://schemas.microsoft.com/office/drawing/2010/main" val="0"/>
                        </a:ext>
                      </a:extLst>
                    </a:blip>
                    <a:srcRect t="20521" b="2659"/>
                    <a:stretch/>
                  </pic:blipFill>
                  <pic:spPr bwMode="auto">
                    <a:xfrm>
                      <a:off x="0" y="0"/>
                      <a:ext cx="2590126" cy="3780445"/>
                    </a:xfrm>
                    <a:prstGeom prst="rect">
                      <a:avLst/>
                    </a:prstGeom>
                    <a:ln>
                      <a:noFill/>
                    </a:ln>
                    <a:extLst>
                      <a:ext uri="{53640926-AAD7-44D8-BBD7-CCE9431645EC}">
                        <a14:shadowObscured xmlns:a14="http://schemas.microsoft.com/office/drawing/2010/main"/>
                      </a:ext>
                    </a:extLst>
                  </pic:spPr>
                </pic:pic>
              </a:graphicData>
            </a:graphic>
          </wp:inline>
        </w:drawing>
      </w:r>
    </w:p>
    <w:p w14:paraId="53DDB87C" w14:textId="77777777" w:rsidR="004E4C22" w:rsidRPr="004E4C22" w:rsidRDefault="004E4C22" w:rsidP="004E4C22"/>
    <w:p w14:paraId="72B00607" w14:textId="35D83E41" w:rsidR="004E4C22" w:rsidRDefault="004E4C22" w:rsidP="004E4C22">
      <w:r>
        <w:t xml:space="preserve">Figure 5 – </w:t>
      </w:r>
      <w:r w:rsidRPr="004E4C22">
        <w:rPr>
          <w:b/>
          <w:bCs/>
          <w:u w:val="single"/>
        </w:rPr>
        <w:t>Above the Line</w:t>
      </w:r>
      <w:r>
        <w:t xml:space="preserve"> Marketing.</w:t>
      </w:r>
    </w:p>
    <w:p w14:paraId="64E71B3C" w14:textId="76167CC8" w:rsidR="004E4C22" w:rsidRDefault="004E4C22" w:rsidP="004E4C22">
      <w:r>
        <w:t xml:space="preserve">Within the campaign, Barbie combined technological advancements to create awe-inducing stimulations beside the world’s tallest skyscraper Burj Khalifa. Burj Khalifa is a central location for tourism being at the heart of Dubai, positioning advertisement for Barbie here, exponentially increases the reach and awareness to the movie. </w:t>
      </w:r>
    </w:p>
    <w:p w14:paraId="6BAAB627" w14:textId="6F6BDBB8" w:rsidR="004E4C22" w:rsidRDefault="004E4C22" w:rsidP="004E4C22"/>
    <w:p w14:paraId="30E31D12" w14:textId="77777777" w:rsidR="004E4C22" w:rsidRDefault="004E4C22" w:rsidP="004E4C22"/>
    <w:p w14:paraId="056DB0BB" w14:textId="0FE54092" w:rsidR="004E4C22" w:rsidRDefault="004E4C22" w:rsidP="004E4C22">
      <w:r>
        <w:t>Buses across the world were also spotted fully wrapped in Barbie advertisement. Featuring ‘Barbie pink’ their signature visual cue combined with the famous lead characters of the movie, Margot Robbie and Ryan Gosling.</w:t>
      </w:r>
    </w:p>
    <w:p w14:paraId="0F360A16" w14:textId="77777777" w:rsidR="004E4C22" w:rsidRDefault="004E4C22" w:rsidP="004E4C22"/>
    <w:p w14:paraId="16709191" w14:textId="541199BC" w:rsidR="004E4C22" w:rsidRPr="004E4C22" w:rsidRDefault="004E4C22" w:rsidP="004E4C22">
      <w:r w:rsidRPr="004E4C22">
        <w:t>Appendix 4 – Media Outlets</w:t>
      </w:r>
    </w:p>
    <w:p w14:paraId="0FE80868" w14:textId="2C2EB52C" w:rsidR="004E4C22" w:rsidRDefault="004E4C22" w:rsidP="004E4C22">
      <w:r>
        <w:rPr>
          <w:noProof/>
        </w:rPr>
        <w:drawing>
          <wp:anchor distT="0" distB="0" distL="114300" distR="114300" simplePos="0" relativeHeight="251662336" behindDoc="0" locked="0" layoutInCell="1" allowOverlap="1" wp14:anchorId="3142A335" wp14:editId="6BFEB2BE">
            <wp:simplePos x="0" y="0"/>
            <wp:positionH relativeFrom="column">
              <wp:posOffset>-40005</wp:posOffset>
            </wp:positionH>
            <wp:positionV relativeFrom="paragraph">
              <wp:posOffset>269240</wp:posOffset>
            </wp:positionV>
            <wp:extent cx="1620520" cy="2399030"/>
            <wp:effectExtent l="0" t="0" r="5080" b="1270"/>
            <wp:wrapThrough wrapText="bothSides">
              <wp:wrapPolygon edited="0">
                <wp:start x="0" y="0"/>
                <wp:lineTo x="0" y="21497"/>
                <wp:lineTo x="21498" y="21497"/>
                <wp:lineTo x="21498" y="0"/>
                <wp:lineTo x="0" y="0"/>
              </wp:wrapPolygon>
            </wp:wrapThrough>
            <wp:docPr id="1940145903" name="Picture 1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5903" name="Picture 14" descr="A screenshot of a video game&#10;&#10;Description automatically generated"/>
                    <pic:cNvPicPr/>
                  </pic:nvPicPr>
                  <pic:blipFill rotWithShape="1">
                    <a:blip r:embed="rId10" cstate="print">
                      <a:extLst>
                        <a:ext uri="{28A0092B-C50C-407E-A947-70E740481C1C}">
                          <a14:useLocalDpi xmlns:a14="http://schemas.microsoft.com/office/drawing/2010/main" val="0"/>
                        </a:ext>
                      </a:extLst>
                    </a:blip>
                    <a:srcRect t="6123"/>
                    <a:stretch/>
                  </pic:blipFill>
                  <pic:spPr bwMode="auto">
                    <a:xfrm>
                      <a:off x="0" y="0"/>
                      <a:ext cx="1620520"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DE4090" w14:textId="2A1D729B" w:rsidR="004E4C22" w:rsidRDefault="004E4C22" w:rsidP="004E4C22">
      <w:r>
        <w:rPr>
          <w:noProof/>
        </w:rPr>
        <w:drawing>
          <wp:anchor distT="0" distB="0" distL="114300" distR="114300" simplePos="0" relativeHeight="251667456" behindDoc="0" locked="0" layoutInCell="1" allowOverlap="1" wp14:anchorId="3D32B03C" wp14:editId="05BE2E31">
            <wp:simplePos x="0" y="0"/>
            <wp:positionH relativeFrom="column">
              <wp:posOffset>1739265</wp:posOffset>
            </wp:positionH>
            <wp:positionV relativeFrom="paragraph">
              <wp:posOffset>68580</wp:posOffset>
            </wp:positionV>
            <wp:extent cx="1778635" cy="2414905"/>
            <wp:effectExtent l="0" t="0" r="0" b="0"/>
            <wp:wrapThrough wrapText="bothSides">
              <wp:wrapPolygon edited="0">
                <wp:start x="0" y="0"/>
                <wp:lineTo x="0" y="21469"/>
                <wp:lineTo x="21438" y="21469"/>
                <wp:lineTo x="21438" y="0"/>
                <wp:lineTo x="0" y="0"/>
              </wp:wrapPolygon>
            </wp:wrapThrough>
            <wp:docPr id="1262960871" name="Picture 15"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60871" name="Picture 15" descr="A screenshot of a social media account&#10;&#10;Description automatically generated"/>
                    <pic:cNvPicPr/>
                  </pic:nvPicPr>
                  <pic:blipFill rotWithShape="1">
                    <a:blip r:embed="rId11" cstate="print">
                      <a:extLst>
                        <a:ext uri="{28A0092B-C50C-407E-A947-70E740481C1C}">
                          <a14:useLocalDpi xmlns:a14="http://schemas.microsoft.com/office/drawing/2010/main" val="0"/>
                        </a:ext>
                      </a:extLst>
                    </a:blip>
                    <a:srcRect t="5543" b="10304"/>
                    <a:stretch/>
                  </pic:blipFill>
                  <pic:spPr bwMode="auto">
                    <a:xfrm>
                      <a:off x="0" y="0"/>
                      <a:ext cx="1778635"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74E41" w14:textId="38C09B6C" w:rsidR="004E4C22" w:rsidRPr="004E4C22" w:rsidRDefault="004E4C22" w:rsidP="004E4C22">
      <w:pPr>
        <w:jc w:val="center"/>
      </w:pPr>
    </w:p>
    <w:p w14:paraId="2C887F56" w14:textId="77777777" w:rsidR="004E4C22" w:rsidRDefault="004E4C22" w:rsidP="004E4C22">
      <w:pPr>
        <w:tabs>
          <w:tab w:val="left" w:pos="1863"/>
        </w:tabs>
      </w:pPr>
    </w:p>
    <w:p w14:paraId="3E787013" w14:textId="77777777" w:rsidR="004E4C22" w:rsidRDefault="004E4C22" w:rsidP="004E4C22">
      <w:pPr>
        <w:tabs>
          <w:tab w:val="left" w:pos="1863"/>
        </w:tabs>
      </w:pPr>
    </w:p>
    <w:p w14:paraId="4C607AFF" w14:textId="77777777" w:rsidR="004E4C22" w:rsidRDefault="004E4C22" w:rsidP="004E4C22">
      <w:pPr>
        <w:tabs>
          <w:tab w:val="left" w:pos="1863"/>
        </w:tabs>
      </w:pPr>
    </w:p>
    <w:p w14:paraId="48791885" w14:textId="77777777" w:rsidR="004E4C22" w:rsidRDefault="004E4C22" w:rsidP="004E4C22">
      <w:pPr>
        <w:tabs>
          <w:tab w:val="left" w:pos="1863"/>
        </w:tabs>
      </w:pPr>
    </w:p>
    <w:p w14:paraId="080480E4" w14:textId="77777777" w:rsidR="004E4C22" w:rsidRDefault="004E4C22" w:rsidP="004E4C22">
      <w:pPr>
        <w:tabs>
          <w:tab w:val="left" w:pos="1863"/>
        </w:tabs>
      </w:pPr>
    </w:p>
    <w:p w14:paraId="0D38923A" w14:textId="77777777" w:rsidR="004E4C22" w:rsidRDefault="004E4C22" w:rsidP="004E4C22">
      <w:pPr>
        <w:tabs>
          <w:tab w:val="left" w:pos="1863"/>
        </w:tabs>
      </w:pPr>
    </w:p>
    <w:p w14:paraId="34AE431B" w14:textId="77777777" w:rsidR="004E4C22" w:rsidRDefault="004E4C22" w:rsidP="004E4C22">
      <w:pPr>
        <w:tabs>
          <w:tab w:val="left" w:pos="1863"/>
        </w:tabs>
      </w:pPr>
    </w:p>
    <w:p w14:paraId="72E6E59B" w14:textId="77777777" w:rsidR="004E4C22" w:rsidRDefault="004E4C22" w:rsidP="004E4C22">
      <w:pPr>
        <w:tabs>
          <w:tab w:val="left" w:pos="1863"/>
        </w:tabs>
      </w:pPr>
    </w:p>
    <w:p w14:paraId="5D609EE1" w14:textId="77777777" w:rsidR="004E4C22" w:rsidRDefault="004E4C22" w:rsidP="004E4C22">
      <w:pPr>
        <w:tabs>
          <w:tab w:val="left" w:pos="1863"/>
        </w:tabs>
      </w:pPr>
    </w:p>
    <w:p w14:paraId="6C5D9734" w14:textId="77777777" w:rsidR="004E4C22" w:rsidRDefault="004E4C22" w:rsidP="004E4C22">
      <w:pPr>
        <w:tabs>
          <w:tab w:val="left" w:pos="1863"/>
        </w:tabs>
      </w:pPr>
    </w:p>
    <w:p w14:paraId="5AB4868F" w14:textId="77777777" w:rsidR="004E4C22" w:rsidRDefault="004E4C22" w:rsidP="004E4C22">
      <w:pPr>
        <w:tabs>
          <w:tab w:val="left" w:pos="1863"/>
        </w:tabs>
      </w:pPr>
    </w:p>
    <w:p w14:paraId="5A6C4A72" w14:textId="65F57DAA" w:rsidR="004E4C22" w:rsidRDefault="004E4C22" w:rsidP="004E4C22">
      <w:pPr>
        <w:tabs>
          <w:tab w:val="left" w:pos="1863"/>
        </w:tabs>
      </w:pPr>
      <w:r>
        <w:lastRenderedPageBreak/>
        <w:t>OWNED/EARNED MEDIA - Figure 6 (on the left), Tiktok following and engagement Figure 7 (on the right), Instagram presence.</w:t>
      </w:r>
    </w:p>
    <w:p w14:paraId="359AD5B3" w14:textId="5132EF91" w:rsidR="004E4C22" w:rsidRDefault="004E4C22" w:rsidP="004E4C22">
      <w:pPr>
        <w:tabs>
          <w:tab w:val="left" w:pos="1863"/>
        </w:tabs>
      </w:pPr>
    </w:p>
    <w:p w14:paraId="64D77757" w14:textId="77777777" w:rsidR="004E4C22" w:rsidRDefault="004E4C22" w:rsidP="004E4C22">
      <w:pPr>
        <w:tabs>
          <w:tab w:val="left" w:pos="1863"/>
        </w:tabs>
      </w:pPr>
    </w:p>
    <w:p w14:paraId="55E27A34" w14:textId="77777777" w:rsidR="004E4C22" w:rsidRDefault="004E4C22" w:rsidP="004E4C22">
      <w:pPr>
        <w:tabs>
          <w:tab w:val="left" w:pos="1863"/>
        </w:tabs>
      </w:pPr>
    </w:p>
    <w:p w14:paraId="2CA4A16F" w14:textId="77777777" w:rsidR="004E4C22" w:rsidRDefault="004E4C22" w:rsidP="004E4C22">
      <w:pPr>
        <w:tabs>
          <w:tab w:val="left" w:pos="1863"/>
        </w:tabs>
      </w:pPr>
    </w:p>
    <w:p w14:paraId="07E404E3" w14:textId="77777777" w:rsidR="004E4C22" w:rsidRDefault="004E4C22" w:rsidP="004E4C22">
      <w:pPr>
        <w:tabs>
          <w:tab w:val="left" w:pos="1863"/>
        </w:tabs>
      </w:pPr>
    </w:p>
    <w:p w14:paraId="711A7987" w14:textId="77777777" w:rsidR="004E4C22" w:rsidRDefault="004E4C22" w:rsidP="004E4C22">
      <w:pPr>
        <w:tabs>
          <w:tab w:val="left" w:pos="1863"/>
        </w:tabs>
      </w:pPr>
    </w:p>
    <w:p w14:paraId="03E37FD4" w14:textId="3F4DE9D0" w:rsidR="004E4C22" w:rsidRDefault="004E4C22" w:rsidP="004E4C22">
      <w:pPr>
        <w:tabs>
          <w:tab w:val="left" w:pos="1863"/>
        </w:tabs>
        <w:rPr>
          <w:b/>
          <w:bCs/>
        </w:rPr>
      </w:pPr>
      <w:r>
        <w:rPr>
          <w:noProof/>
        </w:rPr>
        <w:drawing>
          <wp:anchor distT="0" distB="0" distL="114300" distR="114300" simplePos="0" relativeHeight="251665408" behindDoc="0" locked="0" layoutInCell="1" allowOverlap="1" wp14:anchorId="146BF6A8" wp14:editId="01D28ED5">
            <wp:simplePos x="0" y="0"/>
            <wp:positionH relativeFrom="column">
              <wp:posOffset>2116455</wp:posOffset>
            </wp:positionH>
            <wp:positionV relativeFrom="paragraph">
              <wp:posOffset>873760</wp:posOffset>
            </wp:positionV>
            <wp:extent cx="2961005" cy="2068830"/>
            <wp:effectExtent l="0" t="0" r="0" b="1270"/>
            <wp:wrapThrough wrapText="bothSides">
              <wp:wrapPolygon edited="0">
                <wp:start x="0" y="0"/>
                <wp:lineTo x="0" y="21481"/>
                <wp:lineTo x="21493" y="21481"/>
                <wp:lineTo x="21493" y="0"/>
                <wp:lineTo x="0" y="0"/>
              </wp:wrapPolygon>
            </wp:wrapThrough>
            <wp:docPr id="117114899" name="Picture 21" descr="A person and person sitting in blu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4899" name="Picture 21" descr="A person and person sitting in blue chairs&#10;&#10;Description automatically generated"/>
                    <pic:cNvPicPr/>
                  </pic:nvPicPr>
                  <pic:blipFill rotWithShape="1">
                    <a:blip r:embed="rId12" cstate="print">
                      <a:extLst>
                        <a:ext uri="{28A0092B-C50C-407E-A947-70E740481C1C}">
                          <a14:useLocalDpi xmlns:a14="http://schemas.microsoft.com/office/drawing/2010/main" val="0"/>
                        </a:ext>
                      </a:extLst>
                    </a:blip>
                    <a:srcRect l="1" t="39811" r="-2" b="27890"/>
                    <a:stretch/>
                  </pic:blipFill>
                  <pic:spPr bwMode="auto">
                    <a:xfrm>
                      <a:off x="0" y="0"/>
                      <a:ext cx="296100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587E2B1" wp14:editId="611871CC">
            <wp:simplePos x="0" y="0"/>
            <wp:positionH relativeFrom="column">
              <wp:posOffset>-417444</wp:posOffset>
            </wp:positionH>
            <wp:positionV relativeFrom="paragraph">
              <wp:posOffset>488950</wp:posOffset>
            </wp:positionV>
            <wp:extent cx="2345055" cy="2732405"/>
            <wp:effectExtent l="0" t="0" r="4445" b="0"/>
            <wp:wrapSquare wrapText="bothSides"/>
            <wp:docPr id="1119350097" name="Picture 12" descr="A display of a to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0097" name="Picture 12" descr="A display of a toy in a room&#10;&#10;Description automatically generated"/>
                    <pic:cNvPicPr/>
                  </pic:nvPicPr>
                  <pic:blipFill rotWithShape="1">
                    <a:blip r:embed="rId13" cstate="print">
                      <a:extLst>
                        <a:ext uri="{28A0092B-C50C-407E-A947-70E740481C1C}">
                          <a14:useLocalDpi xmlns:a14="http://schemas.microsoft.com/office/drawing/2010/main" val="0"/>
                        </a:ext>
                      </a:extLst>
                    </a:blip>
                    <a:srcRect t="28147" b="26211"/>
                    <a:stretch/>
                  </pic:blipFill>
                  <pic:spPr bwMode="auto">
                    <a:xfrm>
                      <a:off x="0" y="0"/>
                      <a:ext cx="2345055"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658EB3D" wp14:editId="7A2463E0">
            <wp:simplePos x="0" y="0"/>
            <wp:positionH relativeFrom="column">
              <wp:posOffset>-520065</wp:posOffset>
            </wp:positionH>
            <wp:positionV relativeFrom="paragraph">
              <wp:posOffset>5301615</wp:posOffset>
            </wp:positionV>
            <wp:extent cx="2576830" cy="1551940"/>
            <wp:effectExtent l="4445" t="0" r="5715" b="5715"/>
            <wp:wrapTight wrapText="bothSides">
              <wp:wrapPolygon edited="0">
                <wp:start x="37" y="21662"/>
                <wp:lineTo x="21541" y="21662"/>
                <wp:lineTo x="21541" y="97"/>
                <wp:lineTo x="37" y="97"/>
                <wp:lineTo x="37" y="21662"/>
              </wp:wrapPolygon>
            </wp:wrapTight>
            <wp:docPr id="1771783861" name="Picture 11" descr="A person and person in a pin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83861" name="Picture 11" descr="A person and person in a pink box&#10;&#10;Description automatically generated"/>
                    <pic:cNvPicPr/>
                  </pic:nvPicPr>
                  <pic:blipFill rotWithShape="1">
                    <a:blip r:embed="rId14" cstate="print">
                      <a:extLst>
                        <a:ext uri="{28A0092B-C50C-407E-A947-70E740481C1C}">
                          <a14:useLocalDpi xmlns:a14="http://schemas.microsoft.com/office/drawing/2010/main" val="0"/>
                        </a:ext>
                      </a:extLst>
                    </a:blip>
                    <a:srcRect l="14825" t="15592" b="16008"/>
                    <a:stretch/>
                  </pic:blipFill>
                  <pic:spPr bwMode="auto">
                    <a:xfrm rot="5400000">
                      <a:off x="0" y="0"/>
                      <a:ext cx="2576830"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C22">
        <w:rPr>
          <w:b/>
          <w:bCs/>
        </w:rPr>
        <w:t>Appendix 5 – Barbenheimer Phenomenon</w:t>
      </w:r>
      <w:r>
        <w:rPr>
          <w:b/>
          <w:bCs/>
        </w:rPr>
        <w:t xml:space="preserve"> – Interactive Model</w:t>
      </w:r>
    </w:p>
    <w:p w14:paraId="2F61EA50" w14:textId="77777777" w:rsidR="004E4C22" w:rsidRDefault="004E4C22" w:rsidP="004E4C22">
      <w:pPr>
        <w:tabs>
          <w:tab w:val="left" w:pos="1863"/>
        </w:tabs>
        <w:rPr>
          <w:b/>
          <w:bCs/>
        </w:rPr>
      </w:pPr>
    </w:p>
    <w:p w14:paraId="681C8929" w14:textId="77777777" w:rsidR="004E4C22" w:rsidRDefault="004E4C22" w:rsidP="004E4C22">
      <w:pPr>
        <w:tabs>
          <w:tab w:val="left" w:pos="1863"/>
        </w:tabs>
        <w:rPr>
          <w:b/>
          <w:bCs/>
        </w:rPr>
      </w:pPr>
    </w:p>
    <w:p w14:paraId="4C101549" w14:textId="77777777" w:rsidR="004E4C22" w:rsidRDefault="004E4C22" w:rsidP="004E4C22">
      <w:pPr>
        <w:tabs>
          <w:tab w:val="left" w:pos="1863"/>
        </w:tabs>
        <w:rPr>
          <w:b/>
          <w:bCs/>
        </w:rPr>
      </w:pPr>
    </w:p>
    <w:p w14:paraId="3BF6AFF3" w14:textId="77777777" w:rsidR="004E4C22" w:rsidRDefault="004E4C22" w:rsidP="004E4C22">
      <w:pPr>
        <w:tabs>
          <w:tab w:val="left" w:pos="1863"/>
        </w:tabs>
        <w:rPr>
          <w:b/>
          <w:bCs/>
        </w:rPr>
      </w:pPr>
    </w:p>
    <w:p w14:paraId="11C34222" w14:textId="77777777" w:rsidR="004E4C22" w:rsidRDefault="004E4C22" w:rsidP="004E4C22">
      <w:pPr>
        <w:tabs>
          <w:tab w:val="left" w:pos="1863"/>
        </w:tabs>
        <w:rPr>
          <w:b/>
          <w:bCs/>
        </w:rPr>
      </w:pPr>
    </w:p>
    <w:p w14:paraId="6DA5D4FD" w14:textId="77777777" w:rsidR="004E4C22" w:rsidRDefault="004E4C22" w:rsidP="004E4C22">
      <w:pPr>
        <w:tabs>
          <w:tab w:val="left" w:pos="1863"/>
        </w:tabs>
        <w:rPr>
          <w:b/>
          <w:bCs/>
        </w:rPr>
      </w:pPr>
    </w:p>
    <w:p w14:paraId="3A433475" w14:textId="77777777" w:rsidR="004E4C22" w:rsidRDefault="004E4C22" w:rsidP="004E4C22">
      <w:pPr>
        <w:tabs>
          <w:tab w:val="left" w:pos="1863"/>
        </w:tabs>
        <w:rPr>
          <w:b/>
          <w:bCs/>
        </w:rPr>
      </w:pPr>
    </w:p>
    <w:p w14:paraId="1F6D146E" w14:textId="77777777" w:rsidR="004E4C22" w:rsidRDefault="004E4C22" w:rsidP="004E4C22">
      <w:pPr>
        <w:tabs>
          <w:tab w:val="left" w:pos="1863"/>
        </w:tabs>
        <w:rPr>
          <w:b/>
          <w:bCs/>
        </w:rPr>
      </w:pPr>
    </w:p>
    <w:p w14:paraId="69E3C3D0" w14:textId="77777777" w:rsidR="004E4C22" w:rsidRDefault="004E4C22" w:rsidP="004E4C22">
      <w:pPr>
        <w:tabs>
          <w:tab w:val="left" w:pos="1863"/>
        </w:tabs>
        <w:rPr>
          <w:b/>
          <w:bCs/>
        </w:rPr>
      </w:pPr>
    </w:p>
    <w:p w14:paraId="508E08EF" w14:textId="77777777" w:rsidR="004E4C22" w:rsidRDefault="004E4C22" w:rsidP="004E4C22">
      <w:pPr>
        <w:tabs>
          <w:tab w:val="left" w:pos="1863"/>
        </w:tabs>
        <w:rPr>
          <w:b/>
          <w:bCs/>
        </w:rPr>
      </w:pPr>
    </w:p>
    <w:p w14:paraId="4AA71C78" w14:textId="77777777" w:rsidR="004E4C22" w:rsidRDefault="004E4C22" w:rsidP="004E4C22">
      <w:pPr>
        <w:tabs>
          <w:tab w:val="left" w:pos="1863"/>
        </w:tabs>
        <w:rPr>
          <w:b/>
          <w:bCs/>
        </w:rPr>
      </w:pPr>
    </w:p>
    <w:p w14:paraId="6B4B3FEC" w14:textId="77777777" w:rsidR="004E4C22" w:rsidRDefault="004E4C22" w:rsidP="004E4C22">
      <w:pPr>
        <w:tabs>
          <w:tab w:val="left" w:pos="1863"/>
        </w:tabs>
        <w:rPr>
          <w:b/>
          <w:bCs/>
        </w:rPr>
      </w:pPr>
    </w:p>
    <w:p w14:paraId="750E559B" w14:textId="77777777" w:rsidR="004E4C22" w:rsidRDefault="004E4C22" w:rsidP="004E4C22">
      <w:pPr>
        <w:tabs>
          <w:tab w:val="left" w:pos="1863"/>
        </w:tabs>
        <w:rPr>
          <w:b/>
          <w:bCs/>
        </w:rPr>
      </w:pPr>
    </w:p>
    <w:p w14:paraId="3E29B64F" w14:textId="77777777" w:rsidR="004E4C22" w:rsidRDefault="004E4C22" w:rsidP="004E4C22">
      <w:pPr>
        <w:tabs>
          <w:tab w:val="left" w:pos="1863"/>
        </w:tabs>
        <w:rPr>
          <w:b/>
          <w:bCs/>
        </w:rPr>
      </w:pPr>
    </w:p>
    <w:p w14:paraId="7F438DBA" w14:textId="77777777" w:rsidR="004E4C22" w:rsidRDefault="004E4C22" w:rsidP="004E4C22">
      <w:pPr>
        <w:tabs>
          <w:tab w:val="left" w:pos="1863"/>
        </w:tabs>
        <w:rPr>
          <w:b/>
          <w:bCs/>
        </w:rPr>
      </w:pPr>
    </w:p>
    <w:p w14:paraId="07741ECA" w14:textId="77777777" w:rsidR="004E4C22" w:rsidRDefault="004E4C22" w:rsidP="004E4C22">
      <w:pPr>
        <w:tabs>
          <w:tab w:val="left" w:pos="1863"/>
        </w:tabs>
        <w:rPr>
          <w:b/>
          <w:bCs/>
        </w:rPr>
      </w:pPr>
    </w:p>
    <w:p w14:paraId="4EB52912" w14:textId="77777777" w:rsidR="004E4C22" w:rsidRDefault="004E4C22" w:rsidP="004E4C22">
      <w:pPr>
        <w:tabs>
          <w:tab w:val="left" w:pos="1863"/>
        </w:tabs>
        <w:rPr>
          <w:b/>
          <w:bCs/>
        </w:rPr>
      </w:pPr>
    </w:p>
    <w:p w14:paraId="06735A1D" w14:textId="10871655" w:rsidR="004E4C22" w:rsidRDefault="004E4C22" w:rsidP="004E4C22">
      <w:pPr>
        <w:tabs>
          <w:tab w:val="left" w:pos="1863"/>
        </w:tabs>
        <w:rPr>
          <w:b/>
          <w:bCs/>
        </w:rPr>
      </w:pPr>
    </w:p>
    <w:p w14:paraId="576EFFF0" w14:textId="2F885391" w:rsidR="004E4C22" w:rsidRPr="004E4C22" w:rsidRDefault="004E4C22" w:rsidP="004E4C22">
      <w:pPr>
        <w:tabs>
          <w:tab w:val="left" w:pos="1863"/>
        </w:tabs>
      </w:pPr>
      <w:r w:rsidRPr="004E4C22">
        <w:t xml:space="preserve">Figure 8 </w:t>
      </w:r>
      <w:r>
        <w:t xml:space="preserve">(left) </w:t>
      </w:r>
      <w:r w:rsidRPr="004E4C22">
        <w:t>shows the clash of both movies’ OOH marketing. Figure 9</w:t>
      </w:r>
      <w:r>
        <w:t xml:space="preserve"> (right)</w:t>
      </w:r>
      <w:r w:rsidRPr="004E4C22">
        <w:t xml:space="preserve"> displays an interview including the leading actors of both </w:t>
      </w:r>
      <w:proofErr w:type="gramStart"/>
      <w:r w:rsidRPr="004E4C22">
        <w:t>movie</w:t>
      </w:r>
      <w:proofErr w:type="gramEnd"/>
      <w:r w:rsidRPr="004E4C22">
        <w:t>, encouraging more conversation and competition.</w:t>
      </w:r>
    </w:p>
    <w:p w14:paraId="36218E35" w14:textId="77777777" w:rsidR="004E4C22" w:rsidRDefault="004E4C22" w:rsidP="004E4C22">
      <w:pPr>
        <w:tabs>
          <w:tab w:val="left" w:pos="1863"/>
        </w:tabs>
        <w:rPr>
          <w:b/>
          <w:bCs/>
        </w:rPr>
      </w:pPr>
    </w:p>
    <w:p w14:paraId="3CC9CB9A" w14:textId="77777777" w:rsidR="004E4C22" w:rsidRDefault="004E4C22" w:rsidP="004E4C22">
      <w:pPr>
        <w:tabs>
          <w:tab w:val="left" w:pos="1863"/>
        </w:tabs>
        <w:rPr>
          <w:b/>
          <w:bCs/>
        </w:rPr>
      </w:pPr>
    </w:p>
    <w:p w14:paraId="7717284B" w14:textId="77777777" w:rsidR="004E4C22" w:rsidRDefault="004E4C22" w:rsidP="004E4C22">
      <w:pPr>
        <w:tabs>
          <w:tab w:val="left" w:pos="1863"/>
        </w:tabs>
        <w:rPr>
          <w:b/>
          <w:bCs/>
        </w:rPr>
      </w:pPr>
    </w:p>
    <w:p w14:paraId="79DF4A7E" w14:textId="77777777" w:rsidR="004E4C22" w:rsidRDefault="004E4C22" w:rsidP="004E4C22">
      <w:pPr>
        <w:tabs>
          <w:tab w:val="left" w:pos="1863"/>
        </w:tabs>
        <w:rPr>
          <w:b/>
          <w:bCs/>
        </w:rPr>
      </w:pPr>
    </w:p>
    <w:p w14:paraId="6F5CD3CB" w14:textId="77777777" w:rsidR="004E4C22" w:rsidRDefault="004E4C22" w:rsidP="004E4C22">
      <w:pPr>
        <w:tabs>
          <w:tab w:val="left" w:pos="1863"/>
        </w:tabs>
        <w:rPr>
          <w:b/>
          <w:bCs/>
        </w:rPr>
      </w:pPr>
    </w:p>
    <w:p w14:paraId="4FAA2FA6" w14:textId="3AACA829" w:rsidR="004E4C22" w:rsidRDefault="004E4C22" w:rsidP="004E4C22">
      <w:pPr>
        <w:tabs>
          <w:tab w:val="left" w:pos="1863"/>
        </w:tabs>
      </w:pPr>
      <w:r w:rsidRPr="004E4C22">
        <w:t>In Figure 10, there’s a display of how consumers can interact with Barbie’s advertising efforts in an interactive, memory evoking manner.</w:t>
      </w:r>
    </w:p>
    <w:p w14:paraId="173765D9" w14:textId="77777777" w:rsidR="004E4C22" w:rsidRDefault="004E4C22" w:rsidP="004E4C22">
      <w:pPr>
        <w:tabs>
          <w:tab w:val="left" w:pos="1863"/>
        </w:tabs>
      </w:pPr>
    </w:p>
    <w:p w14:paraId="2EF32A32" w14:textId="77777777" w:rsidR="004E4C22" w:rsidRDefault="004E4C22" w:rsidP="004E4C22">
      <w:pPr>
        <w:tabs>
          <w:tab w:val="left" w:pos="1863"/>
        </w:tabs>
      </w:pPr>
    </w:p>
    <w:p w14:paraId="2E1BB94C" w14:textId="77777777" w:rsidR="004E4C22" w:rsidRDefault="004E4C22" w:rsidP="004E4C22">
      <w:pPr>
        <w:tabs>
          <w:tab w:val="left" w:pos="1863"/>
        </w:tabs>
      </w:pPr>
    </w:p>
    <w:p w14:paraId="3C650DB2" w14:textId="77777777" w:rsidR="004E4C22" w:rsidRDefault="004E4C22" w:rsidP="004E4C22">
      <w:pPr>
        <w:tabs>
          <w:tab w:val="left" w:pos="1863"/>
        </w:tabs>
      </w:pPr>
    </w:p>
    <w:p w14:paraId="0C3C6CF9" w14:textId="77777777" w:rsidR="004E4C22" w:rsidRDefault="004E4C22" w:rsidP="004E4C22">
      <w:pPr>
        <w:tabs>
          <w:tab w:val="left" w:pos="1863"/>
        </w:tabs>
      </w:pPr>
    </w:p>
    <w:p w14:paraId="36676990" w14:textId="77777777" w:rsidR="004E4C22" w:rsidRDefault="004E4C22" w:rsidP="004E4C22">
      <w:pPr>
        <w:tabs>
          <w:tab w:val="left" w:pos="1863"/>
        </w:tabs>
      </w:pPr>
    </w:p>
    <w:p w14:paraId="7862DF10" w14:textId="77777777" w:rsidR="004E4C22" w:rsidRDefault="004E4C22" w:rsidP="004E4C22">
      <w:pPr>
        <w:tabs>
          <w:tab w:val="left" w:pos="1863"/>
        </w:tabs>
      </w:pPr>
    </w:p>
    <w:p w14:paraId="1CEE1D23" w14:textId="77777777" w:rsidR="004E4C22" w:rsidRDefault="004E4C22" w:rsidP="004E4C22">
      <w:pPr>
        <w:tabs>
          <w:tab w:val="left" w:pos="1863"/>
        </w:tabs>
      </w:pPr>
    </w:p>
    <w:p w14:paraId="3F617E4B" w14:textId="77777777" w:rsidR="004E4C22" w:rsidRDefault="004E4C22" w:rsidP="004E4C22">
      <w:pPr>
        <w:tabs>
          <w:tab w:val="left" w:pos="1863"/>
        </w:tabs>
      </w:pPr>
    </w:p>
    <w:p w14:paraId="44C9B24E" w14:textId="77777777" w:rsidR="004E4C22" w:rsidRDefault="004E4C22" w:rsidP="004E4C22">
      <w:pPr>
        <w:tabs>
          <w:tab w:val="left" w:pos="1863"/>
        </w:tabs>
      </w:pPr>
    </w:p>
    <w:p w14:paraId="4E468AC8" w14:textId="77777777" w:rsidR="004E4C22" w:rsidRDefault="004E4C22" w:rsidP="004E4C22">
      <w:pPr>
        <w:tabs>
          <w:tab w:val="left" w:pos="1863"/>
        </w:tabs>
      </w:pPr>
    </w:p>
    <w:p w14:paraId="538344CB" w14:textId="745C2E64" w:rsidR="004E4C22" w:rsidRDefault="004E4C22" w:rsidP="004E4C22">
      <w:pPr>
        <w:tabs>
          <w:tab w:val="left" w:pos="1863"/>
        </w:tabs>
      </w:pPr>
      <w:r>
        <w:t xml:space="preserve">Appendix 6 – Influencer Marketing </w:t>
      </w:r>
    </w:p>
    <w:p w14:paraId="5515DF17" w14:textId="77777777" w:rsidR="004E4C22" w:rsidRDefault="004E4C22" w:rsidP="004E4C22">
      <w:pPr>
        <w:tabs>
          <w:tab w:val="left" w:pos="1863"/>
        </w:tabs>
      </w:pPr>
    </w:p>
    <w:p w14:paraId="317892EE" w14:textId="77777777" w:rsidR="004E4C22" w:rsidRPr="004E4C22" w:rsidRDefault="004E4C22" w:rsidP="004E4C22">
      <w:pPr>
        <w:tabs>
          <w:tab w:val="left" w:pos="1863"/>
        </w:tabs>
      </w:pPr>
    </w:p>
    <w:p w14:paraId="07ADCD9B" w14:textId="04834AD4" w:rsidR="004E4C22" w:rsidRDefault="004E4C22" w:rsidP="004E4C22">
      <w:pPr>
        <w:tabs>
          <w:tab w:val="left" w:pos="1863"/>
        </w:tabs>
      </w:pPr>
      <w:r>
        <w:rPr>
          <w:noProof/>
        </w:rPr>
        <w:drawing>
          <wp:inline distT="0" distB="0" distL="0" distR="0" wp14:anchorId="2A22766B" wp14:editId="1B89378A">
            <wp:extent cx="1923888" cy="3269277"/>
            <wp:effectExtent l="0" t="0" r="0" b="0"/>
            <wp:docPr id="199348764" name="Picture 18"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8764" name="Picture 18" descr="A person in a pink dress&#10;&#10;Description automatically generated"/>
                    <pic:cNvPicPr/>
                  </pic:nvPicPr>
                  <pic:blipFill rotWithShape="1">
                    <a:blip r:embed="rId15" cstate="print">
                      <a:extLst>
                        <a:ext uri="{28A0092B-C50C-407E-A947-70E740481C1C}">
                          <a14:useLocalDpi xmlns:a14="http://schemas.microsoft.com/office/drawing/2010/main" val="0"/>
                        </a:ext>
                      </a:extLst>
                    </a:blip>
                    <a:srcRect t="12897" r="3175" b="11072"/>
                    <a:stretch/>
                  </pic:blipFill>
                  <pic:spPr bwMode="auto">
                    <a:xfrm>
                      <a:off x="0" y="0"/>
                      <a:ext cx="1926388" cy="3273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FA5CCA" wp14:editId="2F1A35A8">
            <wp:extent cx="2368234" cy="3328031"/>
            <wp:effectExtent l="0" t="0" r="0" b="0"/>
            <wp:docPr id="2119277646" name="Picture 10"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7646" name="Picture 10" descr="A person in a dress&#10;&#10;Description automatically generated"/>
                    <pic:cNvPicPr/>
                  </pic:nvPicPr>
                  <pic:blipFill rotWithShape="1">
                    <a:blip r:embed="rId16" cstate="print">
                      <a:extLst>
                        <a:ext uri="{28A0092B-C50C-407E-A947-70E740481C1C}">
                          <a14:useLocalDpi xmlns:a14="http://schemas.microsoft.com/office/drawing/2010/main" val="0"/>
                        </a:ext>
                      </a:extLst>
                    </a:blip>
                    <a:srcRect t="24216" b="10846"/>
                    <a:stretch/>
                  </pic:blipFill>
                  <pic:spPr bwMode="auto">
                    <a:xfrm>
                      <a:off x="0" y="0"/>
                      <a:ext cx="2374607" cy="3336987"/>
                    </a:xfrm>
                    <a:prstGeom prst="rect">
                      <a:avLst/>
                    </a:prstGeom>
                    <a:ln>
                      <a:noFill/>
                    </a:ln>
                    <a:extLst>
                      <a:ext uri="{53640926-AAD7-44D8-BBD7-CCE9431645EC}">
                        <a14:shadowObscured xmlns:a14="http://schemas.microsoft.com/office/drawing/2010/main"/>
                      </a:ext>
                    </a:extLst>
                  </pic:spPr>
                </pic:pic>
              </a:graphicData>
            </a:graphic>
          </wp:inline>
        </w:drawing>
      </w:r>
    </w:p>
    <w:p w14:paraId="7D041F1B" w14:textId="77777777" w:rsidR="004E4C22" w:rsidRDefault="004E4C22" w:rsidP="004E4C22">
      <w:pPr>
        <w:tabs>
          <w:tab w:val="left" w:pos="1863"/>
        </w:tabs>
      </w:pPr>
    </w:p>
    <w:p w14:paraId="4E00426C" w14:textId="06FA2170" w:rsidR="004E4C22" w:rsidRDefault="004E4C22" w:rsidP="004E4C22">
      <w:pPr>
        <w:tabs>
          <w:tab w:val="left" w:pos="1863"/>
        </w:tabs>
      </w:pPr>
      <w:r>
        <w:t>Figure 11 (left) and figure 12 (right), influencers are shown preparing and attending the Barbie premiere. Once again, messaging ideas of meaning transfer through their appearances.</w:t>
      </w:r>
    </w:p>
    <w:p w14:paraId="17E736AD" w14:textId="77777777" w:rsidR="004E4C22" w:rsidRDefault="004E4C22" w:rsidP="004E4C22">
      <w:pPr>
        <w:tabs>
          <w:tab w:val="left" w:pos="1863"/>
        </w:tabs>
      </w:pPr>
    </w:p>
    <w:p w14:paraId="46044BAB" w14:textId="77777777" w:rsidR="004E4C22" w:rsidRDefault="004E4C22"/>
    <w:p w14:paraId="674D81B3" w14:textId="0FF85C94" w:rsidR="004E4C22" w:rsidRDefault="004E4C22">
      <w:pPr>
        <w:rPr>
          <w:color w:val="7030A0"/>
        </w:rPr>
      </w:pPr>
      <w:r w:rsidRPr="004E4C22">
        <w:rPr>
          <w:color w:val="7030A0"/>
        </w:rPr>
        <w:t>References</w:t>
      </w:r>
    </w:p>
    <w:p w14:paraId="7183300E" w14:textId="77777777" w:rsidR="004E4C22" w:rsidRDefault="004E4C22">
      <w:pPr>
        <w:rPr>
          <w:color w:val="7030A0"/>
        </w:rPr>
      </w:pPr>
    </w:p>
    <w:p w14:paraId="74DACEBC" w14:textId="77777777" w:rsidR="004E4C22" w:rsidRDefault="004E4C22">
      <w:pPr>
        <w:rPr>
          <w:color w:val="7030A0"/>
        </w:rPr>
      </w:pPr>
    </w:p>
    <w:p w14:paraId="386B0A1B" w14:textId="427203F5" w:rsidR="004E4C22" w:rsidRPr="004E4C22" w:rsidRDefault="004E4C22">
      <w:pPr>
        <w:rPr>
          <w:rFonts w:cstheme="minorHAnsi"/>
          <w:b/>
          <w:bCs/>
          <w:color w:val="000000" w:themeColor="text1"/>
          <w:shd w:val="clear" w:color="auto" w:fill="EAEAEA"/>
        </w:rPr>
      </w:pPr>
      <w:proofErr w:type="spellStart"/>
      <w:r w:rsidRPr="004E4C22">
        <w:rPr>
          <w:rFonts w:cstheme="minorHAnsi"/>
          <w:b/>
          <w:bCs/>
          <w:color w:val="000000" w:themeColor="text1"/>
        </w:rPr>
        <w:t>Errmann</w:t>
      </w:r>
      <w:proofErr w:type="spellEnd"/>
      <w:r w:rsidRPr="004E4C22">
        <w:rPr>
          <w:rFonts w:cstheme="minorHAnsi"/>
          <w:b/>
          <w:bCs/>
          <w:color w:val="000000" w:themeColor="text1"/>
        </w:rPr>
        <w:t xml:space="preserve">, A. (2024). Mindful Immersion: Curating Awe Inducing Experiences to Increase Brand Salience. Journal of Advertising, 1-15. </w:t>
      </w:r>
      <w:hyperlink r:id="rId17" w:history="1">
        <w:r w:rsidRPr="004E4C22">
          <w:rPr>
            <w:rStyle w:val="Hyperlink"/>
            <w:rFonts w:cstheme="minorHAnsi"/>
            <w:b/>
            <w:bCs/>
            <w:color w:val="000000" w:themeColor="text1"/>
            <w:shd w:val="clear" w:color="auto" w:fill="EAEAEA"/>
          </w:rPr>
          <w:t>https://doi.org/10.1080/00913367.2024.2325144</w:t>
        </w:r>
      </w:hyperlink>
      <w:r w:rsidRPr="004E4C22">
        <w:rPr>
          <w:rFonts w:cstheme="minorHAnsi"/>
          <w:b/>
          <w:bCs/>
          <w:color w:val="000000" w:themeColor="text1"/>
          <w:shd w:val="clear" w:color="auto" w:fill="FFFFFF"/>
        </w:rPr>
        <w:t>(Accessed: 15 December 2024)</w:t>
      </w:r>
    </w:p>
    <w:p w14:paraId="649A3979" w14:textId="77777777" w:rsidR="004E4C22" w:rsidRPr="004E4C22" w:rsidRDefault="004E4C22">
      <w:pPr>
        <w:rPr>
          <w:rFonts w:cstheme="minorHAnsi"/>
          <w:b/>
          <w:bCs/>
          <w:color w:val="000000" w:themeColor="text1"/>
          <w:shd w:val="clear" w:color="auto" w:fill="EAEAEA"/>
        </w:rPr>
      </w:pPr>
    </w:p>
    <w:p w14:paraId="29E7E251" w14:textId="5F7FBC92" w:rsidR="004E4C22" w:rsidRDefault="004E4C22">
      <w:pPr>
        <w:rPr>
          <w:color w:val="7030A0"/>
        </w:rPr>
      </w:pPr>
      <w:proofErr w:type="spellStart"/>
      <w:r w:rsidRPr="004E4C22">
        <w:rPr>
          <w:rFonts w:cstheme="minorHAnsi"/>
          <w:b/>
          <w:bCs/>
          <w:color w:val="000000" w:themeColor="text1"/>
        </w:rPr>
        <w:t>TheGuardian</w:t>
      </w:r>
      <w:proofErr w:type="spellEnd"/>
      <w:r w:rsidRPr="004E4C22">
        <w:rPr>
          <w:rFonts w:cstheme="minorHAnsi"/>
          <w:b/>
          <w:bCs/>
          <w:color w:val="000000" w:themeColor="text1"/>
        </w:rPr>
        <w:t xml:space="preserve">, (2023). Barbie smashes box office records for a film directed by a woman.   </w:t>
      </w:r>
      <w:hyperlink r:id="rId18" w:history="1">
        <w:r w:rsidRPr="004E4C22">
          <w:rPr>
            <w:rStyle w:val="Hyperlink"/>
            <w:rFonts w:cstheme="minorHAnsi"/>
            <w:b/>
            <w:bCs/>
            <w:color w:val="000000" w:themeColor="text1"/>
          </w:rPr>
          <w:t>https://www.theguardian.com/film/2023/jul/24/barbie-movie-box-office-greta-gerwig-records-highest-grossing-woman</w:t>
        </w:r>
      </w:hyperlink>
      <w:r w:rsidRPr="004E4C22">
        <w:rPr>
          <w:rFonts w:cstheme="minorHAnsi"/>
          <w:b/>
          <w:bCs/>
          <w:color w:val="000000" w:themeColor="text1"/>
        </w:rPr>
        <w:t>.</w:t>
      </w:r>
      <w:r w:rsidRPr="004E4C22">
        <w:rPr>
          <w:rFonts w:ascii="Calibri" w:hAnsi="Calibri" w:cs="Calibri"/>
          <w:b/>
          <w:bCs/>
          <w:color w:val="000000" w:themeColor="text1"/>
          <w:shd w:val="clear" w:color="auto" w:fill="FFFFFF"/>
        </w:rPr>
        <w:t xml:space="preserve"> </w:t>
      </w:r>
      <w:r>
        <w:rPr>
          <w:rFonts w:ascii="Calibri" w:hAnsi="Calibri" w:cs="Calibri"/>
          <w:b/>
          <w:bCs/>
          <w:color w:val="232323"/>
          <w:shd w:val="clear" w:color="auto" w:fill="FFFFFF"/>
        </w:rPr>
        <w:t>(Accessed: 15 December 2024)</w:t>
      </w:r>
    </w:p>
    <w:p w14:paraId="15A5BC9B" w14:textId="77777777" w:rsidR="004E4C22" w:rsidRPr="004E4C22" w:rsidRDefault="004E4C22">
      <w:pPr>
        <w:rPr>
          <w:rFonts w:ascii="Calibri" w:hAnsi="Calibri" w:cs="Calibri"/>
          <w:b/>
          <w:bCs/>
          <w:color w:val="7030A0"/>
        </w:rPr>
      </w:pPr>
    </w:p>
    <w:p w14:paraId="6DED87AF" w14:textId="33AE9A40" w:rsidR="004E4C22" w:rsidRDefault="004E4C22">
      <w:pPr>
        <w:rPr>
          <w:rFonts w:ascii="Calibri" w:hAnsi="Calibri" w:cs="Calibri"/>
          <w:b/>
          <w:bCs/>
          <w:color w:val="232323"/>
          <w:shd w:val="clear" w:color="auto" w:fill="FFFFFF"/>
        </w:rPr>
      </w:pPr>
      <w:r w:rsidRPr="004E4C22">
        <w:rPr>
          <w:rFonts w:ascii="Calibri" w:hAnsi="Calibri" w:cs="Calibri"/>
          <w:b/>
          <w:bCs/>
          <w:color w:val="232323"/>
          <w:shd w:val="clear" w:color="auto" w:fill="FFFFFF"/>
        </w:rPr>
        <w:t xml:space="preserve">Brown, S., </w:t>
      </w:r>
      <w:proofErr w:type="spellStart"/>
      <w:r w:rsidRPr="004E4C22">
        <w:rPr>
          <w:rFonts w:ascii="Calibri" w:hAnsi="Calibri" w:cs="Calibri"/>
          <w:b/>
          <w:bCs/>
          <w:color w:val="232323"/>
          <w:shd w:val="clear" w:color="auto" w:fill="FFFFFF"/>
        </w:rPr>
        <w:t>Kozinets</w:t>
      </w:r>
      <w:proofErr w:type="spellEnd"/>
      <w:r w:rsidRPr="004E4C22">
        <w:rPr>
          <w:rFonts w:ascii="Calibri" w:hAnsi="Calibri" w:cs="Calibri"/>
          <w:b/>
          <w:bCs/>
          <w:color w:val="232323"/>
          <w:shd w:val="clear" w:color="auto" w:fill="FFFFFF"/>
        </w:rPr>
        <w:t>, R.V. and Sherry Jr., J.F. (2003) Teaching Old Brands New Tricks: Retro Branding and the Revival of Brand Meaning. Journal of Marketing, 67, 19-33.</w:t>
      </w:r>
      <w:r w:rsidRPr="004E4C22">
        <w:rPr>
          <w:rStyle w:val="apple-converted-space"/>
          <w:rFonts w:ascii="Calibri" w:hAnsi="Calibri" w:cs="Calibri"/>
          <w:b/>
          <w:bCs/>
          <w:color w:val="232323"/>
          <w:shd w:val="clear" w:color="auto" w:fill="FFFFFF"/>
        </w:rPr>
        <w:t> </w:t>
      </w:r>
      <w:r w:rsidRPr="004E4C22">
        <w:rPr>
          <w:rFonts w:ascii="Calibri" w:hAnsi="Calibri" w:cs="Calibri"/>
          <w:b/>
          <w:bCs/>
          <w:color w:val="232323"/>
        </w:rPr>
        <w:br/>
      </w:r>
      <w:hyperlink r:id="rId19" w:history="1">
        <w:r w:rsidRPr="00F73EBD">
          <w:rPr>
            <w:rStyle w:val="Hyperlink"/>
            <w:rFonts w:ascii="Calibri" w:hAnsi="Calibri" w:cs="Calibri"/>
            <w:b/>
            <w:bCs/>
            <w:shd w:val="clear" w:color="auto" w:fill="FFFFFF"/>
          </w:rPr>
          <w:t>https://doi.org/10.1509/jmkg.67.3.19.18657</w:t>
        </w:r>
      </w:hyperlink>
      <w:r>
        <w:rPr>
          <w:rFonts w:ascii="Calibri" w:hAnsi="Calibri" w:cs="Calibri"/>
          <w:b/>
          <w:bCs/>
          <w:color w:val="232323"/>
          <w:shd w:val="clear" w:color="auto" w:fill="FFFFFF"/>
        </w:rPr>
        <w:t>. (Accessed: 15 December 2024)</w:t>
      </w:r>
    </w:p>
    <w:p w14:paraId="4F4C31DF" w14:textId="77777777" w:rsidR="004E4C22" w:rsidRDefault="004E4C22">
      <w:pPr>
        <w:rPr>
          <w:rFonts w:ascii="Calibri" w:hAnsi="Calibri" w:cs="Calibri"/>
          <w:b/>
          <w:bCs/>
          <w:color w:val="232323"/>
          <w:shd w:val="clear" w:color="auto" w:fill="FFFFFF"/>
        </w:rPr>
      </w:pPr>
    </w:p>
    <w:p w14:paraId="69E14D8F" w14:textId="34217F51" w:rsidR="004E4C22" w:rsidRDefault="004E4C22">
      <w:pPr>
        <w:rPr>
          <w:rFonts w:ascii="Calibri" w:hAnsi="Calibri" w:cs="Calibri"/>
          <w:b/>
          <w:bCs/>
          <w:color w:val="232323"/>
          <w:shd w:val="clear" w:color="auto" w:fill="FFFFFF"/>
        </w:rPr>
      </w:pPr>
      <w:proofErr w:type="spellStart"/>
      <w:r>
        <w:rPr>
          <w:rFonts w:ascii="Calibri" w:hAnsi="Calibri" w:cs="Calibri"/>
          <w:b/>
          <w:bCs/>
          <w:color w:val="232323"/>
          <w:shd w:val="clear" w:color="auto" w:fill="FFFFFF"/>
        </w:rPr>
        <w:t>Slootweg</w:t>
      </w:r>
      <w:proofErr w:type="spellEnd"/>
      <w:r>
        <w:rPr>
          <w:rFonts w:ascii="Calibri" w:hAnsi="Calibri" w:cs="Calibri"/>
          <w:b/>
          <w:bCs/>
          <w:color w:val="232323"/>
          <w:shd w:val="clear" w:color="auto" w:fill="FFFFFF"/>
        </w:rPr>
        <w:t xml:space="preserve">, E. and Rowson, B. (2018) ‘My generation: A review of marketing strategies on different age groups’, Research in Hospitality Management, 8(2), pp. 85-92. </w:t>
      </w:r>
      <w:hyperlink r:id="rId20" w:history="1">
        <w:r>
          <w:rPr>
            <w:rStyle w:val="Hyperlink"/>
            <w:rFonts w:ascii="Open Sans" w:hAnsi="Open Sans" w:cs="Open Sans"/>
            <w:color w:val="10147E"/>
            <w:sz w:val="20"/>
            <w:szCs w:val="20"/>
          </w:rPr>
          <w:t>https://doi.org/10.1080/22243534.2018.1553369</w:t>
        </w:r>
      </w:hyperlink>
      <w:r>
        <w:rPr>
          <w:rFonts w:ascii="Calibri" w:hAnsi="Calibri" w:cs="Calibri"/>
          <w:b/>
          <w:bCs/>
          <w:color w:val="232323"/>
          <w:shd w:val="clear" w:color="auto" w:fill="FFFFFF"/>
        </w:rPr>
        <w:t xml:space="preserve"> (Accessed: 15 December 2024)</w:t>
      </w:r>
      <w:r w:rsidRPr="004E4C22">
        <w:t xml:space="preserve"> </w:t>
      </w:r>
    </w:p>
    <w:p w14:paraId="6A94EECC" w14:textId="77777777" w:rsidR="004E4C22" w:rsidRDefault="004E4C22">
      <w:pPr>
        <w:rPr>
          <w:rFonts w:ascii="Calibri" w:hAnsi="Calibri" w:cs="Calibri"/>
          <w:b/>
          <w:bCs/>
          <w:color w:val="232323"/>
          <w:shd w:val="clear" w:color="auto" w:fill="FFFFFF"/>
        </w:rPr>
      </w:pPr>
    </w:p>
    <w:p w14:paraId="224FA400" w14:textId="03DE9381" w:rsidR="004E4C22" w:rsidRDefault="004E4C22">
      <w:pPr>
        <w:rPr>
          <w:rFonts w:cstheme="minorHAnsi"/>
          <w:b/>
          <w:bCs/>
        </w:rPr>
      </w:pPr>
      <w:r w:rsidRPr="004E4C22">
        <w:rPr>
          <w:rFonts w:cstheme="minorHAnsi"/>
          <w:b/>
          <w:bCs/>
          <w:color w:val="000000"/>
        </w:rPr>
        <w:t xml:space="preserve">Brown, S., </w:t>
      </w:r>
      <w:proofErr w:type="spellStart"/>
      <w:r w:rsidRPr="004E4C22">
        <w:rPr>
          <w:rFonts w:cstheme="minorHAnsi"/>
          <w:b/>
          <w:bCs/>
          <w:color w:val="000000"/>
        </w:rPr>
        <w:t>Kozinets</w:t>
      </w:r>
      <w:proofErr w:type="spellEnd"/>
      <w:r w:rsidRPr="004E4C22">
        <w:rPr>
          <w:rFonts w:cstheme="minorHAnsi"/>
          <w:b/>
          <w:bCs/>
          <w:color w:val="000000"/>
        </w:rPr>
        <w:t>, R.V. and Sherry, J.F. (2003) ‘Teaching old brands new tricks: Retro branding and the revival of brand meaning’,</w:t>
      </w:r>
      <w:r w:rsidRPr="004E4C22">
        <w:rPr>
          <w:rStyle w:val="apple-converted-space"/>
          <w:rFonts w:cstheme="minorHAnsi"/>
          <w:b/>
          <w:bCs/>
          <w:color w:val="000000"/>
        </w:rPr>
        <w:t> </w:t>
      </w:r>
      <w:r w:rsidRPr="004E4C22">
        <w:rPr>
          <w:rStyle w:val="Emphasis"/>
          <w:rFonts w:cstheme="minorHAnsi"/>
          <w:b/>
          <w:bCs/>
          <w:color w:val="000000"/>
        </w:rPr>
        <w:t>Journal of Consumer Research</w:t>
      </w:r>
      <w:r w:rsidRPr="004E4C22">
        <w:rPr>
          <w:rFonts w:cstheme="minorHAnsi"/>
          <w:b/>
          <w:bCs/>
          <w:color w:val="000000"/>
        </w:rPr>
        <w:t>, 67(2), pp. 19–32. Available at:</w:t>
      </w:r>
      <w:r w:rsidRPr="004E4C22">
        <w:rPr>
          <w:rStyle w:val="apple-converted-space"/>
          <w:rFonts w:cstheme="minorHAnsi"/>
          <w:b/>
          <w:bCs/>
          <w:color w:val="000000"/>
        </w:rPr>
        <w:t> </w:t>
      </w:r>
      <w:hyperlink r:id="rId21" w:history="1">
        <w:r w:rsidRPr="00F73EBD">
          <w:rPr>
            <w:rStyle w:val="Hyperlink"/>
            <w:rFonts w:cstheme="minorHAnsi"/>
            <w:b/>
            <w:bCs/>
          </w:rPr>
          <w:t>https://doi.org/10.1002/mar.20691</w:t>
        </w:r>
      </w:hyperlink>
      <w:r>
        <w:rPr>
          <w:rFonts w:ascii="Calibri" w:hAnsi="Calibri" w:cs="Calibri"/>
          <w:b/>
          <w:bCs/>
          <w:color w:val="232323"/>
          <w:shd w:val="clear" w:color="auto" w:fill="FFFFFF"/>
        </w:rPr>
        <w:t>(Accessed: 15 December 2024)</w:t>
      </w:r>
    </w:p>
    <w:p w14:paraId="4158CC61" w14:textId="77777777" w:rsidR="004E4C22" w:rsidRDefault="004E4C22">
      <w:pPr>
        <w:rPr>
          <w:rFonts w:cstheme="minorHAnsi"/>
          <w:b/>
          <w:bCs/>
        </w:rPr>
      </w:pPr>
    </w:p>
    <w:p w14:paraId="7F807DE1" w14:textId="0CCD74F6" w:rsidR="004E4C22" w:rsidRDefault="004E4C22">
      <w:pPr>
        <w:rPr>
          <w:rFonts w:cstheme="minorHAnsi"/>
          <w:b/>
          <w:bCs/>
          <w:color w:val="222222"/>
          <w:shd w:val="clear" w:color="auto" w:fill="FFFFFF"/>
        </w:rPr>
      </w:pPr>
      <w:r w:rsidRPr="004E4C22">
        <w:rPr>
          <w:rFonts w:cstheme="minorHAnsi"/>
          <w:b/>
          <w:bCs/>
          <w:color w:val="222222"/>
          <w:shd w:val="clear" w:color="auto" w:fill="FFFFFF"/>
        </w:rPr>
        <w:t>Zahid, N.M., Khan, J. &amp; Tao, M. Exploring mindful consumption, ego involvement, and social norms influencing second-hand clothing purchase.</w:t>
      </w:r>
      <w:r w:rsidRPr="004E4C22">
        <w:rPr>
          <w:rStyle w:val="apple-converted-space"/>
          <w:rFonts w:cstheme="minorHAnsi"/>
          <w:b/>
          <w:bCs/>
          <w:color w:val="222222"/>
          <w:shd w:val="clear" w:color="auto" w:fill="FFFFFF"/>
        </w:rPr>
        <w:t> </w:t>
      </w:r>
      <w:r w:rsidRPr="004E4C22">
        <w:rPr>
          <w:rFonts w:cstheme="minorHAnsi"/>
          <w:b/>
          <w:bCs/>
          <w:i/>
          <w:iCs/>
          <w:color w:val="222222"/>
        </w:rPr>
        <w:t xml:space="preserve">Curr </w:t>
      </w:r>
      <w:proofErr w:type="spellStart"/>
      <w:r w:rsidRPr="004E4C22">
        <w:rPr>
          <w:rFonts w:cstheme="minorHAnsi"/>
          <w:b/>
          <w:bCs/>
          <w:i/>
          <w:iCs/>
          <w:color w:val="222222"/>
        </w:rPr>
        <w:t>Psychol</w:t>
      </w:r>
      <w:proofErr w:type="spellEnd"/>
      <w:r w:rsidRPr="004E4C22">
        <w:rPr>
          <w:rStyle w:val="apple-converted-space"/>
          <w:rFonts w:cstheme="minorHAnsi"/>
          <w:b/>
          <w:bCs/>
          <w:color w:val="222222"/>
          <w:shd w:val="clear" w:color="auto" w:fill="FFFFFF"/>
        </w:rPr>
        <w:t> </w:t>
      </w:r>
      <w:r w:rsidRPr="004E4C22">
        <w:rPr>
          <w:rFonts w:cstheme="minorHAnsi"/>
          <w:b/>
          <w:bCs/>
          <w:color w:val="222222"/>
        </w:rPr>
        <w:t>42</w:t>
      </w:r>
      <w:r w:rsidRPr="004E4C22">
        <w:rPr>
          <w:rFonts w:cstheme="minorHAnsi"/>
          <w:b/>
          <w:bCs/>
          <w:color w:val="222222"/>
          <w:shd w:val="clear" w:color="auto" w:fill="FFFFFF"/>
        </w:rPr>
        <w:t xml:space="preserve">, 13960–13974 (2023). </w:t>
      </w:r>
      <w:hyperlink r:id="rId22" w:history="1">
        <w:r w:rsidRPr="00F73EBD">
          <w:rPr>
            <w:rStyle w:val="Hyperlink"/>
            <w:rFonts w:cstheme="minorHAnsi"/>
            <w:b/>
            <w:bCs/>
            <w:shd w:val="clear" w:color="auto" w:fill="FFFFFF"/>
          </w:rPr>
          <w:t>https://doi.org/10.1007/s12144-021-02657-9</w:t>
        </w:r>
      </w:hyperlink>
      <w:r>
        <w:rPr>
          <w:rFonts w:ascii="Calibri" w:hAnsi="Calibri" w:cs="Calibri"/>
          <w:b/>
          <w:bCs/>
          <w:color w:val="232323"/>
          <w:shd w:val="clear" w:color="auto" w:fill="FFFFFF"/>
        </w:rPr>
        <w:t>(Accessed: 15 December 2024)</w:t>
      </w:r>
    </w:p>
    <w:p w14:paraId="73C568CB" w14:textId="77777777" w:rsidR="004E4C22" w:rsidRDefault="004E4C22">
      <w:pPr>
        <w:rPr>
          <w:rFonts w:cstheme="minorHAnsi"/>
          <w:b/>
          <w:bCs/>
          <w:color w:val="222222"/>
          <w:shd w:val="clear" w:color="auto" w:fill="FFFFFF"/>
        </w:rPr>
      </w:pPr>
    </w:p>
    <w:p w14:paraId="166FFD1D" w14:textId="20EBEEDF" w:rsidR="004E4C22" w:rsidRPr="004E4C22" w:rsidRDefault="004E4C22" w:rsidP="004E4C22">
      <w:pPr>
        <w:pStyle w:val="NormalWeb"/>
        <w:rPr>
          <w:rFonts w:asciiTheme="minorHAnsi" w:hAnsiTheme="minorHAnsi" w:cstheme="minorHAnsi"/>
          <w:b/>
          <w:bCs/>
        </w:rPr>
      </w:pPr>
      <w:r w:rsidRPr="004E4C22">
        <w:rPr>
          <w:rFonts w:asciiTheme="minorHAnsi" w:hAnsiTheme="minorHAnsi" w:cstheme="minorHAnsi"/>
          <w:b/>
          <w:bCs/>
        </w:rPr>
        <w:t xml:space="preserve">Wells, VK (2015) Behavioural psychology, marketing and consumer behaviour: a literature review and future research agenda. Journal of Marketing Management. pp. 1119-1158. ISSN 0267-257X. </w:t>
      </w:r>
      <w:r w:rsidRPr="004E4C22">
        <w:rPr>
          <w:rFonts w:asciiTheme="minorHAnsi" w:hAnsiTheme="minorHAnsi" w:cstheme="minorHAnsi"/>
          <w:b/>
          <w:bCs/>
          <w:color w:val="00007F"/>
        </w:rPr>
        <w:t>https://doi.org/10.1080/0267257X.2014.929161.</w:t>
      </w:r>
      <w:r w:rsidRPr="004E4C22">
        <w:rPr>
          <w:rFonts w:asciiTheme="minorHAnsi" w:hAnsiTheme="minorHAnsi" w:cstheme="minorHAnsi"/>
          <w:b/>
          <w:bCs/>
          <w:color w:val="232323"/>
          <w:shd w:val="clear" w:color="auto" w:fill="FFFFFF"/>
        </w:rPr>
        <w:t>(Accessed: 15 December 2024)</w:t>
      </w:r>
    </w:p>
    <w:p w14:paraId="5D20DCC5" w14:textId="614E014C" w:rsidR="004E4C22" w:rsidRDefault="004E4C22" w:rsidP="004E4C22">
      <w:pPr>
        <w:pStyle w:val="NormalWeb"/>
      </w:pPr>
    </w:p>
    <w:p w14:paraId="0EEE8CD0" w14:textId="77777777" w:rsidR="004E4C22" w:rsidRPr="004E4C22" w:rsidRDefault="004E4C22">
      <w:pPr>
        <w:rPr>
          <w:rFonts w:cstheme="minorHAnsi"/>
          <w:b/>
          <w:bCs/>
          <w:color w:val="232323"/>
          <w:shd w:val="clear" w:color="auto" w:fill="FFFFFF"/>
        </w:rPr>
      </w:pPr>
    </w:p>
    <w:sectPr w:rsidR="004E4C22" w:rsidRPr="004E4C22" w:rsidSect="004E4C22">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C22"/>
    <w:rsid w:val="004E4C22"/>
    <w:rsid w:val="005C5D0A"/>
    <w:rsid w:val="006B75F2"/>
    <w:rsid w:val="00B23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B199F"/>
  <w15:chartTrackingRefBased/>
  <w15:docId w15:val="{4F7641C1-C48F-AD46-9424-0B07A3E9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C22"/>
  </w:style>
  <w:style w:type="paragraph" w:styleId="Heading2">
    <w:name w:val="heading 2"/>
    <w:basedOn w:val="Normal"/>
    <w:next w:val="Normal"/>
    <w:link w:val="Heading2Char"/>
    <w:uiPriority w:val="9"/>
    <w:unhideWhenUsed/>
    <w:qFormat/>
    <w:rsid w:val="004E4C22"/>
    <w:pPr>
      <w:keepNext/>
      <w:keepLines/>
      <w:spacing w:before="40" w:line="360" w:lineRule="auto"/>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4C22"/>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Spacing">
    <w:name w:val="No Spacing"/>
    <w:link w:val="NoSpacingChar"/>
    <w:uiPriority w:val="1"/>
    <w:qFormat/>
    <w:rsid w:val="004E4C22"/>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4E4C22"/>
    <w:rPr>
      <w:rFonts w:eastAsiaTheme="minorEastAsia"/>
      <w:kern w:val="0"/>
      <w:sz w:val="22"/>
      <w:szCs w:val="22"/>
      <w:lang w:val="en-US" w:eastAsia="zh-CN"/>
      <w14:ligatures w14:val="none"/>
    </w:rPr>
  </w:style>
  <w:style w:type="character" w:styleId="Hyperlink">
    <w:name w:val="Hyperlink"/>
    <w:basedOn w:val="DefaultParagraphFont"/>
    <w:uiPriority w:val="99"/>
    <w:unhideWhenUsed/>
    <w:rsid w:val="004E4C22"/>
    <w:rPr>
      <w:color w:val="0563C1" w:themeColor="hyperlink"/>
      <w:u w:val="single"/>
    </w:rPr>
  </w:style>
  <w:style w:type="character" w:customStyle="1" w:styleId="apple-converted-space">
    <w:name w:val="apple-converted-space"/>
    <w:basedOn w:val="DefaultParagraphFont"/>
    <w:rsid w:val="004E4C22"/>
  </w:style>
  <w:style w:type="character" w:styleId="UnresolvedMention">
    <w:name w:val="Unresolved Mention"/>
    <w:basedOn w:val="DefaultParagraphFont"/>
    <w:uiPriority w:val="99"/>
    <w:semiHidden/>
    <w:unhideWhenUsed/>
    <w:rsid w:val="004E4C22"/>
    <w:rPr>
      <w:color w:val="605E5C"/>
      <w:shd w:val="clear" w:color="auto" w:fill="E1DFDD"/>
    </w:rPr>
  </w:style>
  <w:style w:type="character" w:styleId="FollowedHyperlink">
    <w:name w:val="FollowedHyperlink"/>
    <w:basedOn w:val="DefaultParagraphFont"/>
    <w:uiPriority w:val="99"/>
    <w:semiHidden/>
    <w:unhideWhenUsed/>
    <w:rsid w:val="004E4C22"/>
    <w:rPr>
      <w:color w:val="954F72" w:themeColor="followedHyperlink"/>
      <w:u w:val="single"/>
    </w:rPr>
  </w:style>
  <w:style w:type="character" w:styleId="Emphasis">
    <w:name w:val="Emphasis"/>
    <w:basedOn w:val="DefaultParagraphFont"/>
    <w:uiPriority w:val="20"/>
    <w:qFormat/>
    <w:rsid w:val="004E4C22"/>
    <w:rPr>
      <w:i/>
      <w:iCs/>
    </w:rPr>
  </w:style>
  <w:style w:type="character" w:customStyle="1" w:styleId="Heading2Char">
    <w:name w:val="Heading 2 Char"/>
    <w:basedOn w:val="DefaultParagraphFont"/>
    <w:link w:val="Heading2"/>
    <w:uiPriority w:val="9"/>
    <w:rsid w:val="004E4C22"/>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93437">
      <w:bodyDiv w:val="1"/>
      <w:marLeft w:val="0"/>
      <w:marRight w:val="0"/>
      <w:marTop w:val="0"/>
      <w:marBottom w:val="0"/>
      <w:divBdr>
        <w:top w:val="none" w:sz="0" w:space="0" w:color="auto"/>
        <w:left w:val="none" w:sz="0" w:space="0" w:color="auto"/>
        <w:bottom w:val="none" w:sz="0" w:space="0" w:color="auto"/>
        <w:right w:val="none" w:sz="0" w:space="0" w:color="auto"/>
      </w:divBdr>
      <w:divsChild>
        <w:div w:id="1349025530">
          <w:marLeft w:val="0"/>
          <w:marRight w:val="0"/>
          <w:marTop w:val="0"/>
          <w:marBottom w:val="0"/>
          <w:divBdr>
            <w:top w:val="none" w:sz="0" w:space="0" w:color="auto"/>
            <w:left w:val="none" w:sz="0" w:space="0" w:color="auto"/>
            <w:bottom w:val="none" w:sz="0" w:space="0" w:color="auto"/>
            <w:right w:val="none" w:sz="0" w:space="0" w:color="auto"/>
          </w:divBdr>
          <w:divsChild>
            <w:div w:id="1500147825">
              <w:marLeft w:val="0"/>
              <w:marRight w:val="0"/>
              <w:marTop w:val="0"/>
              <w:marBottom w:val="0"/>
              <w:divBdr>
                <w:top w:val="none" w:sz="0" w:space="0" w:color="auto"/>
                <w:left w:val="none" w:sz="0" w:space="0" w:color="auto"/>
                <w:bottom w:val="none" w:sz="0" w:space="0" w:color="auto"/>
                <w:right w:val="none" w:sz="0" w:space="0" w:color="auto"/>
              </w:divBdr>
              <w:divsChild>
                <w:div w:id="21421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197">
          <w:marLeft w:val="0"/>
          <w:marRight w:val="0"/>
          <w:marTop w:val="0"/>
          <w:marBottom w:val="0"/>
          <w:divBdr>
            <w:top w:val="none" w:sz="0" w:space="0" w:color="auto"/>
            <w:left w:val="none" w:sz="0" w:space="0" w:color="auto"/>
            <w:bottom w:val="none" w:sz="0" w:space="0" w:color="auto"/>
            <w:right w:val="none" w:sz="0" w:space="0" w:color="auto"/>
          </w:divBdr>
          <w:divsChild>
            <w:div w:id="1287812304">
              <w:marLeft w:val="0"/>
              <w:marRight w:val="0"/>
              <w:marTop w:val="0"/>
              <w:marBottom w:val="0"/>
              <w:divBdr>
                <w:top w:val="none" w:sz="0" w:space="0" w:color="auto"/>
                <w:left w:val="none" w:sz="0" w:space="0" w:color="auto"/>
                <w:bottom w:val="none" w:sz="0" w:space="0" w:color="auto"/>
                <w:right w:val="none" w:sz="0" w:space="0" w:color="auto"/>
              </w:divBdr>
              <w:divsChild>
                <w:div w:id="17212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1256">
          <w:marLeft w:val="0"/>
          <w:marRight w:val="0"/>
          <w:marTop w:val="0"/>
          <w:marBottom w:val="0"/>
          <w:divBdr>
            <w:top w:val="none" w:sz="0" w:space="0" w:color="auto"/>
            <w:left w:val="none" w:sz="0" w:space="0" w:color="auto"/>
            <w:bottom w:val="none" w:sz="0" w:space="0" w:color="auto"/>
            <w:right w:val="none" w:sz="0" w:space="0" w:color="auto"/>
          </w:divBdr>
          <w:divsChild>
            <w:div w:id="126945163">
              <w:marLeft w:val="0"/>
              <w:marRight w:val="0"/>
              <w:marTop w:val="0"/>
              <w:marBottom w:val="0"/>
              <w:divBdr>
                <w:top w:val="none" w:sz="0" w:space="0" w:color="auto"/>
                <w:left w:val="none" w:sz="0" w:space="0" w:color="auto"/>
                <w:bottom w:val="none" w:sz="0" w:space="0" w:color="auto"/>
                <w:right w:val="none" w:sz="0" w:space="0" w:color="auto"/>
              </w:divBdr>
              <w:divsChild>
                <w:div w:id="9760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4496">
      <w:bodyDiv w:val="1"/>
      <w:marLeft w:val="0"/>
      <w:marRight w:val="0"/>
      <w:marTop w:val="0"/>
      <w:marBottom w:val="0"/>
      <w:divBdr>
        <w:top w:val="none" w:sz="0" w:space="0" w:color="auto"/>
        <w:left w:val="none" w:sz="0" w:space="0" w:color="auto"/>
        <w:bottom w:val="none" w:sz="0" w:space="0" w:color="auto"/>
        <w:right w:val="none" w:sz="0" w:space="0" w:color="auto"/>
      </w:divBdr>
    </w:div>
    <w:div w:id="549613884">
      <w:bodyDiv w:val="1"/>
      <w:marLeft w:val="0"/>
      <w:marRight w:val="0"/>
      <w:marTop w:val="0"/>
      <w:marBottom w:val="0"/>
      <w:divBdr>
        <w:top w:val="none" w:sz="0" w:space="0" w:color="auto"/>
        <w:left w:val="none" w:sz="0" w:space="0" w:color="auto"/>
        <w:bottom w:val="none" w:sz="0" w:space="0" w:color="auto"/>
        <w:right w:val="none" w:sz="0" w:space="0" w:color="auto"/>
      </w:divBdr>
      <w:divsChild>
        <w:div w:id="2128348651">
          <w:marLeft w:val="0"/>
          <w:marRight w:val="0"/>
          <w:marTop w:val="0"/>
          <w:marBottom w:val="0"/>
          <w:divBdr>
            <w:top w:val="none" w:sz="0" w:space="0" w:color="auto"/>
            <w:left w:val="none" w:sz="0" w:space="0" w:color="auto"/>
            <w:bottom w:val="none" w:sz="0" w:space="0" w:color="auto"/>
            <w:right w:val="none" w:sz="0" w:space="0" w:color="auto"/>
          </w:divBdr>
          <w:divsChild>
            <w:div w:id="840118609">
              <w:marLeft w:val="0"/>
              <w:marRight w:val="0"/>
              <w:marTop w:val="0"/>
              <w:marBottom w:val="0"/>
              <w:divBdr>
                <w:top w:val="none" w:sz="0" w:space="0" w:color="auto"/>
                <w:left w:val="none" w:sz="0" w:space="0" w:color="auto"/>
                <w:bottom w:val="none" w:sz="0" w:space="0" w:color="auto"/>
                <w:right w:val="none" w:sz="0" w:space="0" w:color="auto"/>
              </w:divBdr>
              <w:divsChild>
                <w:div w:id="2407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77273">
      <w:bodyDiv w:val="1"/>
      <w:marLeft w:val="0"/>
      <w:marRight w:val="0"/>
      <w:marTop w:val="0"/>
      <w:marBottom w:val="0"/>
      <w:divBdr>
        <w:top w:val="none" w:sz="0" w:space="0" w:color="auto"/>
        <w:left w:val="none" w:sz="0" w:space="0" w:color="auto"/>
        <w:bottom w:val="none" w:sz="0" w:space="0" w:color="auto"/>
        <w:right w:val="none" w:sz="0" w:space="0" w:color="auto"/>
      </w:divBdr>
    </w:div>
    <w:div w:id="1853832423">
      <w:bodyDiv w:val="1"/>
      <w:marLeft w:val="0"/>
      <w:marRight w:val="0"/>
      <w:marTop w:val="0"/>
      <w:marBottom w:val="0"/>
      <w:divBdr>
        <w:top w:val="none" w:sz="0" w:space="0" w:color="auto"/>
        <w:left w:val="none" w:sz="0" w:space="0" w:color="auto"/>
        <w:bottom w:val="none" w:sz="0" w:space="0" w:color="auto"/>
        <w:right w:val="none" w:sz="0" w:space="0" w:color="auto"/>
      </w:divBdr>
      <w:divsChild>
        <w:div w:id="160198917">
          <w:marLeft w:val="0"/>
          <w:marRight w:val="0"/>
          <w:marTop w:val="0"/>
          <w:marBottom w:val="0"/>
          <w:divBdr>
            <w:top w:val="none" w:sz="0" w:space="0" w:color="auto"/>
            <w:left w:val="none" w:sz="0" w:space="0" w:color="auto"/>
            <w:bottom w:val="none" w:sz="0" w:space="0" w:color="auto"/>
            <w:right w:val="none" w:sz="0" w:space="0" w:color="auto"/>
          </w:divBdr>
          <w:divsChild>
            <w:div w:id="499390399">
              <w:marLeft w:val="0"/>
              <w:marRight w:val="0"/>
              <w:marTop w:val="0"/>
              <w:marBottom w:val="0"/>
              <w:divBdr>
                <w:top w:val="none" w:sz="0" w:space="0" w:color="auto"/>
                <w:left w:val="none" w:sz="0" w:space="0" w:color="auto"/>
                <w:bottom w:val="none" w:sz="0" w:space="0" w:color="auto"/>
                <w:right w:val="none" w:sz="0" w:space="0" w:color="auto"/>
              </w:divBdr>
              <w:divsChild>
                <w:div w:id="4389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theguardian.com/film/2023/jul/24/barbie-movie-box-office-greta-gerwig-records-highest-grossing-woman" TargetMode="External"/><Relationship Id="rId3" Type="http://schemas.openxmlformats.org/officeDocument/2006/relationships/webSettings" Target="webSettings.xml"/><Relationship Id="rId21" Type="http://schemas.openxmlformats.org/officeDocument/2006/relationships/hyperlink" Target="https://doi.org/10.1002/mar.20691"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doi.org/10.1080/00913367.2024.2325144"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doi.org/10.1080/22243534.2018.1553369"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doi.org/10.1509/jmkg.67.3.19.18657"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doi.org/10.1007/s12144-021-026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2337</Words>
  <Characters>13324</Characters>
  <Application>Microsoft Office Word</Application>
  <DocSecurity>0</DocSecurity>
  <Lines>111</Lines>
  <Paragraphs>31</Paragraphs>
  <ScaleCrop>false</ScaleCrop>
  <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MMP_5_ICC INDIVIDUAL ESSAY</dc:title>
  <dc:subject/>
  <dc:creator>Student ID: S4240131</dc:creator>
  <cp:keywords/>
  <dc:description/>
  <cp:lastModifiedBy>Temilayo Omoyinmi</cp:lastModifiedBy>
  <cp:revision>2</cp:revision>
  <dcterms:created xsi:type="dcterms:W3CDTF">2025-11-19T17:02:00Z</dcterms:created>
  <dcterms:modified xsi:type="dcterms:W3CDTF">2025-11-19T17:02:00Z</dcterms:modified>
</cp:coreProperties>
</file>